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"/>
        <w:gridCol w:w="31"/>
        <w:gridCol w:w="65"/>
        <w:gridCol w:w="917"/>
        <w:gridCol w:w="13"/>
        <w:gridCol w:w="567"/>
        <w:gridCol w:w="142"/>
        <w:gridCol w:w="284"/>
        <w:gridCol w:w="132"/>
        <w:gridCol w:w="260"/>
        <w:gridCol w:w="33"/>
        <w:gridCol w:w="104"/>
        <w:gridCol w:w="38"/>
        <w:gridCol w:w="89"/>
        <w:gridCol w:w="143"/>
        <w:gridCol w:w="335"/>
        <w:gridCol w:w="73"/>
        <w:gridCol w:w="68"/>
        <w:gridCol w:w="102"/>
        <w:gridCol w:w="246"/>
        <w:gridCol w:w="503"/>
        <w:gridCol w:w="193"/>
        <w:gridCol w:w="52"/>
        <w:gridCol w:w="90"/>
        <w:gridCol w:w="52"/>
        <w:gridCol w:w="157"/>
        <w:gridCol w:w="23"/>
        <w:gridCol w:w="142"/>
        <w:gridCol w:w="138"/>
        <w:gridCol w:w="996"/>
        <w:gridCol w:w="96"/>
        <w:gridCol w:w="130"/>
        <w:gridCol w:w="129"/>
        <w:gridCol w:w="1441"/>
        <w:gridCol w:w="238"/>
        <w:gridCol w:w="1509"/>
      </w:tblGrid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1. IDENTIFIKACIJA TVARI / SMJESE I PODACI O TVRTKI / PODUZEĆU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Identifikacija proizvoda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8E143C">
              <w:rPr>
                <w:rFonts w:ascii="Garamond" w:hAnsi="Garamond"/>
                <w:b/>
              </w:rPr>
              <w:t>MASAI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Odgovarajuće identificirane namjene tvari ili smjese i namjene koje se ne preporučuju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Sredstvo za zaštitu bilja. Insekticid</w:t>
            </w:r>
            <w:r w:rsidR="005D0A17"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proofErr w:type="spellStart"/>
            <w:r w:rsidR="005D0A17">
              <w:rPr>
                <w:rFonts w:ascii="Garamond" w:eastAsia="Times New Roman" w:hAnsi="Garamond" w:cs="Times New Roman"/>
                <w:lang w:eastAsia="hr-HR"/>
              </w:rPr>
              <w:t>akaricid</w:t>
            </w:r>
            <w:proofErr w:type="spellEnd"/>
            <w:r w:rsidR="005D0A17">
              <w:rPr>
                <w:rFonts w:ascii="Garamond" w:eastAsia="Times New Roman" w:hAnsi="Garamond" w:cs="Times New Roman"/>
                <w:lang w:eastAsia="hr-HR"/>
              </w:rPr>
              <w:t>)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42118F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Telefon: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Dajana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Mirković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: 01/6000-040)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</w:t>
            </w: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5D6523" w:rsidRDefault="009449C6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hyperlink r:id="rId8" w:history="1">
              <w:r w:rsidR="008E143C" w:rsidRPr="002F3C68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dajana.mirkovic@basf.com</w:t>
              </w:r>
            </w:hyperlink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5" w:type="dxa"/>
            <w:gridSpan w:val="18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37" w:type="dxa"/>
            <w:gridSpan w:val="18"/>
            <w:shd w:val="clear" w:color="auto" w:fill="auto"/>
            <w:vAlign w:val="center"/>
          </w:tcPr>
          <w:p w:rsidR="008E143C" w:rsidRPr="00E87368" w:rsidRDefault="009449C6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9" w:history="1">
              <w:r w:rsidR="008E143C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+49 180 2273-112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 proizvođača: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8E143C" w:rsidRPr="005D6523" w:rsidRDefault="009449C6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hyperlink r:id="rId10" w:history="1">
              <w:r w:rsidR="008E143C" w:rsidRPr="00B23DF0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Produktinformation-Pflanzenschutz@basf.com</w:t>
              </w:r>
            </w:hyperlink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166" w:type="dxa"/>
            <w:gridSpan w:val="21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5386" w:type="dxa"/>
            <w:gridSpan w:val="1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 IDENTIFIKACIJA OPASNOSTI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2.1.1. Razvrstavanje prema uredbi (EZ-a) br. 1272/2008 [CLP]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2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9" w:type="dxa"/>
            <w:gridSpan w:val="22"/>
            <w:shd w:val="clear" w:color="auto" w:fill="auto"/>
            <w:vAlign w:val="center"/>
          </w:tcPr>
          <w:p w:rsidR="0001691A" w:rsidRDefault="0001691A" w:rsidP="000169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TCOJ 3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TCOP 2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  <w:p w:rsidR="008E143C" w:rsidRPr="005D6523" w:rsidRDefault="008E143C" w:rsidP="000169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</w:t>
            </w:r>
          </w:p>
        </w:tc>
        <w:tc>
          <w:tcPr>
            <w:tcW w:w="5193" w:type="dxa"/>
            <w:gridSpan w:val="14"/>
            <w:shd w:val="clear" w:color="auto" w:fill="auto"/>
            <w:vAlign w:val="center"/>
          </w:tcPr>
          <w:p w:rsidR="0001691A" w:rsidRDefault="0001691A" w:rsidP="000169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H332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H335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H373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8E143C" w:rsidRPr="005D6523" w:rsidRDefault="008E143C" w:rsidP="000169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1691A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01691A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FFFFFF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FFFFFF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1691A">
            <w:pPr>
              <w:spacing w:before="40" w:after="4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2.2. Elementi označavanja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2.2.1. Elementi označavanja prema uredbi (EZ-a) br. 1272/2008 [CLP]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8E143C">
              <w:rPr>
                <w:rFonts w:ascii="Garamond" w:hAnsi="Garamond"/>
                <w:b/>
              </w:rPr>
              <w:t>MASAI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Pr="0010558E" w:rsidRDefault="008E143C" w:rsidP="000A180E">
            <w:pPr>
              <w:spacing w:after="0" w:line="300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hr-HR"/>
              </w:rPr>
              <w:t xml:space="preserve"> </w:t>
            </w:r>
            <w:r w:rsidR="000C2144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 wp14:anchorId="1D7E63DC" wp14:editId="14C9C1F2">
                  <wp:extent cx="733425" cy="733425"/>
                  <wp:effectExtent l="0" t="0" r="9525" b="9525"/>
                  <wp:docPr id="2" name="Picture 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 wp14:anchorId="1B221E48" wp14:editId="06F080EF">
                  <wp:extent cx="733425" cy="733425"/>
                  <wp:effectExtent l="0" t="0" r="9525" b="9525"/>
                  <wp:docPr id="4" name="Picture 4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hr-HR"/>
              </w:rPr>
              <w:drawing>
                <wp:inline distT="0" distB="0" distL="0" distR="0" wp14:anchorId="538EFCF5" wp14:editId="2F8B1C52">
                  <wp:extent cx="733425" cy="733425"/>
                  <wp:effectExtent l="0" t="0" r="9525" b="9525"/>
                  <wp:docPr id="12" name="Picture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Pr="009E5B12" w:rsidRDefault="000C2144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UPOZORENJE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01691A" w:rsidRPr="009F38B7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H302 </w:t>
            </w:r>
            <w:r>
              <w:rPr>
                <w:rFonts w:ascii="Garamond" w:eastAsia="Times New Roman" w:hAnsi="Garamond" w:cs="Times New Roman"/>
                <w:lang w:eastAsia="hr-HR"/>
              </w:rPr>
              <w:t>Štetno ako se proguta.</w:t>
            </w:r>
          </w:p>
          <w:p w:rsidR="00860A15" w:rsidRDefault="00860A15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H332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Štetno ako se udiše.</w:t>
            </w:r>
          </w:p>
          <w:p w:rsidR="008E143C" w:rsidRPr="009F38B7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H335 </w:t>
            </w:r>
            <w:r>
              <w:rPr>
                <w:rFonts w:ascii="Garamond" w:eastAsia="Times New Roman" w:hAnsi="Garamond" w:cs="Times New Roman"/>
                <w:lang w:eastAsia="hr-HR"/>
              </w:rPr>
              <w:t>Može nadražiti dišni sustav.</w:t>
            </w:r>
          </w:p>
          <w:p w:rsidR="008E143C" w:rsidRPr="009F38B7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H373 </w:t>
            </w:r>
            <w:r>
              <w:rPr>
                <w:rFonts w:ascii="Garamond" w:eastAsia="Times New Roman" w:hAnsi="Garamond" w:cs="Times New Roman"/>
                <w:lang w:eastAsia="hr-HR"/>
              </w:rPr>
              <w:t>Može uzrokovati oštećenje organa (</w:t>
            </w:r>
            <w:r w:rsidR="00860A15">
              <w:rPr>
                <w:rFonts w:ascii="Garamond" w:eastAsia="Times New Roman" w:hAnsi="Garamond" w:cs="Times New Roman"/>
                <w:lang w:eastAsia="hr-HR"/>
              </w:rPr>
              <w:t>gastrointestinalni trakt</w:t>
            </w:r>
            <w:r>
              <w:rPr>
                <w:rFonts w:ascii="Garamond" w:eastAsia="Times New Roman" w:hAnsi="Garamond" w:cs="Times New Roman"/>
                <w:lang w:eastAsia="hr-HR"/>
              </w:rPr>
              <w:t>) tijekom produljene ili ponavljane izloženosti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 xml:space="preserve"> (oralno)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8E143C" w:rsidRPr="00120929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H400 </w:t>
            </w:r>
            <w:r>
              <w:rPr>
                <w:rFonts w:ascii="Garamond" w:eastAsia="Times New Roman" w:hAnsi="Garamond" w:cs="Times New Roman"/>
                <w:lang w:eastAsia="hr-HR"/>
              </w:rPr>
              <w:t>Vrlo otrovno za vodeni okoliš.</w:t>
            </w:r>
          </w:p>
          <w:p w:rsidR="008E143C" w:rsidRPr="0001691A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H410 </w:t>
            </w:r>
            <w:r>
              <w:rPr>
                <w:rFonts w:ascii="Garamond" w:eastAsia="Times New Roman" w:hAnsi="Garamond" w:cs="Times New Roman"/>
                <w:lang w:eastAsia="hr-HR"/>
              </w:rPr>
              <w:t>Vrlo otrovno za vodeni okoliš, s dugotrajnim učincima.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Pr="00E4612F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[Sprječavanje]</w:t>
            </w:r>
          </w:p>
          <w:p w:rsidR="008E143C" w:rsidRPr="00DC3CA2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P260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</w:t>
            </w:r>
            <w:r w:rsidR="000C6365">
              <w:rPr>
                <w:rFonts w:ascii="Garamond" w:eastAsia="Times New Roman" w:hAnsi="Garamond" w:cs="Times New Roman"/>
                <w:lang w:eastAsia="hr-HR"/>
              </w:rPr>
              <w:t>prašinu/plin/</w:t>
            </w:r>
            <w:r>
              <w:rPr>
                <w:rFonts w:ascii="Garamond" w:eastAsia="Times New Roman" w:hAnsi="Garamond" w:cs="Times New Roman"/>
                <w:lang w:eastAsia="hr-HR"/>
              </w:rPr>
              <w:t>maglu/pare.</w:t>
            </w:r>
          </w:p>
          <w:p w:rsidR="008E143C" w:rsidRPr="00820B7A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P264 </w:t>
            </w:r>
            <w:r>
              <w:rPr>
                <w:rFonts w:ascii="Garamond" w:eastAsia="Times New Roman" w:hAnsi="Garamond" w:cs="Times New Roman"/>
                <w:lang w:eastAsia="hr-HR"/>
              </w:rPr>
              <w:t>Nakon uporabe temeljito oprati kontaminirane dijelove tijela.</w:t>
            </w:r>
          </w:p>
          <w:p w:rsidR="008E143C" w:rsidRPr="0016530F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P270 </w:t>
            </w:r>
            <w:r>
              <w:rPr>
                <w:rFonts w:ascii="Garamond" w:eastAsia="Times New Roman" w:hAnsi="Garamond" w:cs="Times New Roman"/>
                <w:lang w:eastAsia="hr-HR"/>
              </w:rPr>
              <w:t>Pri rukovanju proizvodom ne jesti, piti niti pušiti.</w:t>
            </w:r>
          </w:p>
          <w:p w:rsidR="008E143C" w:rsidRPr="0060104E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P271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Rabiti samo na otvorenom ili dobro prozračenom prostoru.</w:t>
            </w:r>
          </w:p>
          <w:p w:rsidR="008E143C" w:rsidRPr="00E4612F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  <w:p w:rsidR="008E143C" w:rsidRPr="00E4612F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[Postupanje]</w:t>
            </w:r>
          </w:p>
          <w:p w:rsidR="000C6365" w:rsidRDefault="000C6365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P301+P330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AKO SE PROGUTA: isprati usta. </w:t>
            </w:r>
          </w:p>
          <w:p w:rsidR="008E143C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P304+P340 </w:t>
            </w:r>
            <w:r>
              <w:rPr>
                <w:rFonts w:ascii="Garamond" w:eastAsia="Times New Roman" w:hAnsi="Garamond" w:cs="Times New Roman"/>
                <w:lang w:eastAsia="hr-HR"/>
              </w:rPr>
              <w:t>AKO SE UDIŠE: premjestiti osobu na svjež zrak i postaviti ju u položaj koji olakšava disanje.</w:t>
            </w:r>
          </w:p>
          <w:p w:rsidR="008E143C" w:rsidRPr="0060104E" w:rsidRDefault="000C6365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P311</w:t>
            </w:r>
            <w:r w:rsidR="008E143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N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>azvati CENTAR Z</w:t>
            </w:r>
            <w:r>
              <w:rPr>
                <w:rFonts w:ascii="Garamond" w:eastAsia="Times New Roman" w:hAnsi="Garamond" w:cs="Times New Roman"/>
                <w:lang w:eastAsia="hr-HR"/>
              </w:rPr>
              <w:t>A KONTROLU OTROVANJA/liječnika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8E143C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P391</w:t>
            </w: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Sakupiti </w:t>
            </w:r>
            <w:r w:rsidR="00691555">
              <w:rPr>
                <w:rFonts w:ascii="Garamond" w:eastAsia="Times New Roman" w:hAnsi="Garamond" w:cs="Times New Roman"/>
                <w:lang w:eastAsia="hr-HR"/>
              </w:rPr>
              <w:t>rasuto</w:t>
            </w:r>
            <w:r w:rsidRPr="00E4612F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8E143C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</w:p>
          <w:p w:rsidR="008E143C" w:rsidRPr="00E4612F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[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>Skladištenje</w:t>
            </w: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]</w:t>
            </w:r>
          </w:p>
          <w:p w:rsidR="008E143C" w:rsidRPr="00CB33F8" w:rsidRDefault="00081861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P403+P233</w:t>
            </w:r>
            <w:r w:rsidR="008E143C"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Skladištiti na dobro prozračenom mjestu. </w:t>
            </w:r>
            <w:r>
              <w:rPr>
                <w:rFonts w:ascii="Garamond" w:eastAsia="Times New Roman" w:hAnsi="Garamond" w:cs="Times New Roman"/>
                <w:lang w:eastAsia="hr-HR"/>
              </w:rPr>
              <w:t>Čuvati u dobro zatvorenom spremniku.</w:t>
            </w:r>
          </w:p>
          <w:p w:rsidR="008E143C" w:rsidRPr="009E5B12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P405 </w:t>
            </w:r>
            <w:r>
              <w:rPr>
                <w:rFonts w:ascii="Garamond" w:eastAsia="Times New Roman" w:hAnsi="Garamond" w:cs="Times New Roman"/>
                <w:lang w:eastAsia="hr-HR"/>
              </w:rPr>
              <w:t>Skladištiti pod ključem.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Pr="00E4612F" w:rsidRDefault="008E143C" w:rsidP="000A180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>[Odlaganje]</w:t>
            </w:r>
          </w:p>
          <w:p w:rsidR="008E143C" w:rsidRDefault="008E143C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4612F">
              <w:rPr>
                <w:rFonts w:ascii="Garamond" w:eastAsia="Times New Roman" w:hAnsi="Garamond" w:cs="Times New Roman"/>
                <w:b/>
                <w:lang w:eastAsia="hr-HR"/>
              </w:rPr>
              <w:t xml:space="preserve">P501 </w:t>
            </w:r>
            <w:r w:rsidRPr="00E4612F">
              <w:rPr>
                <w:rFonts w:ascii="Garamond" w:eastAsia="Times New Roman" w:hAnsi="Garamond" w:cs="Times New Roman"/>
                <w:lang w:eastAsia="hr-HR"/>
              </w:rPr>
              <w:t>Odložiti sadržaj/spremnik u skladu sa Zakonom o otpadu 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4612F">
              <w:rPr>
                <w:rFonts w:ascii="Garamond" w:eastAsia="Times New Roman" w:hAnsi="Garamond" w:cs="Times New Roman"/>
                <w:lang w:eastAsia="hr-HR"/>
              </w:rPr>
              <w:t xml:space="preserve">njegovim </w:t>
            </w:r>
            <w:proofErr w:type="spellStart"/>
            <w:r w:rsidRPr="00E4612F">
              <w:rPr>
                <w:rFonts w:ascii="Garamond" w:eastAsia="Times New Roman" w:hAnsi="Garamond" w:cs="Times New Roman"/>
                <w:lang w:eastAsia="hr-HR"/>
              </w:rPr>
              <w:t>podzakonskim</w:t>
            </w:r>
            <w:proofErr w:type="spellEnd"/>
            <w:r w:rsidRPr="00E4612F">
              <w:rPr>
                <w:rFonts w:ascii="Garamond" w:eastAsia="Times New Roman" w:hAnsi="Garamond" w:cs="Times New Roman"/>
                <w:lang w:eastAsia="hr-HR"/>
              </w:rPr>
              <w:t xml:space="preserve"> aktima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Default="0001691A" w:rsidP="00EC23E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EUH</w:t>
            </w:r>
            <w:r w:rsidR="00EC23EC" w:rsidRPr="00174671">
              <w:rPr>
                <w:rFonts w:ascii="Garamond" w:eastAsia="Times New Roman" w:hAnsi="Garamond" w:cs="Times New Roman"/>
                <w:b/>
                <w:lang w:eastAsia="hr-HR"/>
              </w:rPr>
              <w:t xml:space="preserve">208 </w:t>
            </w:r>
            <w:r w:rsidR="00EC23EC">
              <w:rPr>
                <w:rFonts w:ascii="Garamond" w:eastAsia="Times New Roman" w:hAnsi="Garamond" w:cs="Times New Roman"/>
                <w:lang w:eastAsia="hr-HR"/>
              </w:rPr>
              <w:t xml:space="preserve">Sadrži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</w:t>
            </w:r>
            <w:r w:rsidR="00EC23EC">
              <w:rPr>
                <w:rFonts w:ascii="Garamond" w:eastAsia="Times New Roman" w:hAnsi="Garamond" w:cs="Times New Roman"/>
                <w:lang w:eastAsia="hr-HR"/>
              </w:rPr>
              <w:t>ebufenpirad</w:t>
            </w:r>
            <w:proofErr w:type="spellEnd"/>
            <w:r w:rsidR="00EC23EC"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  <w:p w:rsidR="0001691A" w:rsidRPr="005D6523" w:rsidRDefault="0001691A" w:rsidP="00EC23E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E5B12"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9E5B12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lastRenderedPageBreak/>
              <w:t>ODJELJAK 3. SASTAV / INFORMACIJE O SASTOJCIMA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F2F2F2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[REACH broj registracije]</w:t>
            </w:r>
          </w:p>
        </w:tc>
        <w:tc>
          <w:tcPr>
            <w:tcW w:w="1560" w:type="dxa"/>
            <w:gridSpan w:val="10"/>
            <w:shd w:val="clear" w:color="auto" w:fill="F2F2F2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% mase</w:t>
            </w:r>
          </w:p>
        </w:tc>
        <w:tc>
          <w:tcPr>
            <w:tcW w:w="3543" w:type="dxa"/>
            <w:gridSpan w:val="6"/>
            <w:shd w:val="clear" w:color="auto" w:fill="F2F2F2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(EZ)1272/2008</w:t>
            </w:r>
          </w:p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Pr="00B74162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Tebufenpirad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A180E">
              <w:rPr>
                <w:rFonts w:ascii="Garamond" w:eastAsia="Times New Roman" w:hAnsi="Garamond" w:cs="Times New Roman"/>
                <w:lang w:eastAsia="hr-HR"/>
              </w:rPr>
              <w:t>119168-77-3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01691A" w:rsidRPr="00B74162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616-210-00-6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3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H301</w:t>
            </w:r>
          </w:p>
          <w:p w:rsidR="0001691A" w:rsidRDefault="0001691A" w:rsidP="000169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Derm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senz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1B, H317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 (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inhal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.), H332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TCOP 2, H373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H400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H410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Natrijev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dodecil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sulfat</w:t>
            </w:r>
          </w:p>
          <w:p w:rsidR="0001691A" w:rsidRPr="001A5329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0A180E">
              <w:rPr>
                <w:rFonts w:ascii="Garamond" w:eastAsia="Times New Roman" w:hAnsi="Garamond" w:cs="Times New Roman"/>
                <w:lang w:eastAsia="hr-HR"/>
              </w:rPr>
              <w:t>2119489461-32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A180E">
              <w:rPr>
                <w:rFonts w:ascii="Garamond" w:eastAsia="Times New Roman" w:hAnsi="Garamond" w:cs="Times New Roman"/>
                <w:lang w:eastAsia="hr-HR"/>
              </w:rPr>
              <w:t>151-21-3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205-788-1/</w:t>
            </w:r>
          </w:p>
          <w:p w:rsidR="0001691A" w:rsidRPr="001A5329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Zap. krut. 2, H228</w:t>
            </w:r>
          </w:p>
          <w:p w:rsidR="0001691A" w:rsidRDefault="0001691A" w:rsidP="00B142F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4, H302</w:t>
            </w:r>
          </w:p>
          <w:p w:rsidR="0001691A" w:rsidRDefault="0001691A" w:rsidP="00B142F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01691A" w:rsidRDefault="0001691A" w:rsidP="00B142F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01691A" w:rsidRDefault="0001691A" w:rsidP="00B142F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4, H332</w:t>
            </w:r>
          </w:p>
          <w:p w:rsidR="0001691A" w:rsidRDefault="0001691A" w:rsidP="00B142F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TCOJ 3, H335</w:t>
            </w:r>
          </w:p>
          <w:p w:rsidR="0001691A" w:rsidRDefault="0001691A" w:rsidP="0001691A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3, H412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Oleilaminetoksilat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, polimer, početni materijal naveden u EINECS</w:t>
            </w:r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B585F">
              <w:rPr>
                <w:rFonts w:ascii="Garamond" w:eastAsia="Times New Roman" w:hAnsi="Garamond" w:cs="Times New Roman"/>
                <w:lang w:eastAsia="hr-HR"/>
              </w:rPr>
              <w:t>26635-93-8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4, H302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01691A" w:rsidRDefault="0001691A" w:rsidP="009B552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Ak.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H400</w:t>
            </w:r>
          </w:p>
          <w:p w:rsidR="0001691A" w:rsidRDefault="0001691A" w:rsidP="009B552C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1, H410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Pr="001A5329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Alkoholi, C12-15,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etoksilirani</w:t>
            </w:r>
            <w:proofErr w:type="spellEnd"/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D30BBC">
              <w:rPr>
                <w:rFonts w:ascii="Garamond" w:eastAsia="Times New Roman" w:hAnsi="Garamond" w:cs="Times New Roman"/>
                <w:lang w:eastAsia="hr-HR"/>
              </w:rPr>
              <w:t xml:space="preserve">68131-39-5 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-/</w:t>
            </w:r>
          </w:p>
          <w:p w:rsidR="0001691A" w:rsidRPr="001A5329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3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375E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Ak. toks. 4, H302</w:t>
            </w:r>
          </w:p>
          <w:p w:rsidR="0001691A" w:rsidRDefault="0001691A" w:rsidP="000375E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01691A" w:rsidRDefault="0001691A" w:rsidP="000375E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01691A" w:rsidRDefault="0001691A" w:rsidP="000375E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2, H411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Natrijev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dioktil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sulfosukcinat</w:t>
            </w:r>
            <w:proofErr w:type="spellEnd"/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1639-66-3/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216-684-0/</w:t>
            </w:r>
          </w:p>
          <w:p w:rsidR="0001691A" w:rsidRPr="00A60CFE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3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4106B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Nadraž. koža 2, H315</w:t>
            </w:r>
          </w:p>
          <w:p w:rsidR="0001691A" w:rsidRDefault="0001691A" w:rsidP="004106B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Ozlj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oka 1, H318</w:t>
            </w:r>
          </w:p>
          <w:p w:rsidR="0001691A" w:rsidRDefault="0001691A" w:rsidP="004106B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Kron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toks. vod.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okol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3, H412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Kaolin </w:t>
            </w:r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1332-58-7/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310-194-1/</w:t>
            </w:r>
          </w:p>
          <w:p w:rsidR="0001691A" w:rsidRPr="00A60CFE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60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Silicijev dioksid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9F2995">
              <w:rPr>
                <w:rFonts w:ascii="Garamond" w:eastAsia="Times New Roman" w:hAnsi="Garamond" w:cs="Times New Roman"/>
                <w:lang w:eastAsia="hr-HR"/>
              </w:rPr>
              <w:t>2119379499-16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7631-86-9/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231-545-4/</w:t>
            </w:r>
          </w:p>
          <w:p w:rsidR="0001691A" w:rsidRPr="00A60CFE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15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01691A" w:rsidRPr="005D6523" w:rsidTr="0001691A">
        <w:trPr>
          <w:cantSplit/>
        </w:trPr>
        <w:tc>
          <w:tcPr>
            <w:tcW w:w="4077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Silika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gel, precipitiran, bez kristala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[01-</w:t>
            </w:r>
            <w:r w:rsidRPr="009F2995">
              <w:rPr>
                <w:rFonts w:ascii="Garamond" w:eastAsia="Times New Roman" w:hAnsi="Garamond" w:cs="Times New Roman"/>
                <w:lang w:eastAsia="hr-HR"/>
              </w:rPr>
              <w:t>2119379499-16</w:t>
            </w:r>
            <w:r>
              <w:rPr>
                <w:rFonts w:ascii="Garamond" w:eastAsia="Times New Roman" w:hAnsi="Garamond" w:cs="Times New Roman"/>
                <w:lang w:eastAsia="hr-HR"/>
              </w:rPr>
              <w:t>]</w:t>
            </w:r>
          </w:p>
        </w:tc>
        <w:tc>
          <w:tcPr>
            <w:tcW w:w="1560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D079C7">
              <w:rPr>
                <w:rFonts w:ascii="Garamond" w:eastAsia="Times New Roman" w:hAnsi="Garamond" w:cs="Times New Roman"/>
                <w:lang w:eastAsia="hr-HR"/>
              </w:rPr>
              <w:t>112926-00-8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</w:p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  <w:p w:rsidR="0001691A" w:rsidRPr="00A60CFE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&lt; 5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1691A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 MJERE PRVE POMOĆI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Osobu izvesti na svježi zrak.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oko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10-15 minuta.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oko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10-15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 (prvih 60 sekundi naizmjence brzo ispirati svako oko).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izazivati povraćanje! Isprati usta vodom i ispljunuti.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Dati popiti 2-3 dL vode te zatražiti savjet liječnika.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01691A" w:rsidRPr="005D6523" w:rsidRDefault="0001691A" w:rsidP="0001691A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su kašalj, kihanje, otežano disanje, curenje iz nosa, glavobolja, vrtoglavica, mučnina.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Moguće crvenilo, peckanje i/ili svrbež. Sadrži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Tebufenpirad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Moguće crvenilo, peckanje i/ili suzenje pri direktnom kontaktu.</w:t>
            </w:r>
          </w:p>
        </w:tc>
      </w:tr>
      <w:tr w:rsidR="0001691A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01691A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2" w:type="dxa"/>
            <w:gridSpan w:val="10"/>
            <w:shd w:val="clear" w:color="auto" w:fill="auto"/>
            <w:vAlign w:val="center"/>
          </w:tcPr>
          <w:p w:rsidR="0001691A" w:rsidRPr="00E17D26" w:rsidRDefault="0001691A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0" w:type="dxa"/>
            <w:gridSpan w:val="26"/>
            <w:shd w:val="clear" w:color="auto" w:fill="auto"/>
            <w:vAlign w:val="center"/>
          </w:tcPr>
          <w:p w:rsidR="0001691A" w:rsidRPr="005D6523" w:rsidRDefault="0001691A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Mogući mučnina, povraćanje, slabost, proljev i bol u probavnom traktu.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4.3. Hitna liječnička pomoć i posebna obrada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Tretirati simptomatski (dekontaminacija, vitalne funkcije). Ne postoji specifični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antidot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 MJERE ZA SUZBIJANJE POŽARA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8E143C" w:rsidRPr="005D6523" w:rsidRDefault="008E143C" w:rsidP="006E04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Raspršen</w:t>
            </w:r>
            <w:r w:rsidR="006E0430">
              <w:rPr>
                <w:rFonts w:ascii="Garamond" w:eastAsia="Times New Roman" w:hAnsi="Garamond" w:cs="Times New Roman"/>
                <w:lang w:eastAsia="hr-HR"/>
              </w:rPr>
              <w:t>i vodeni mlaz, suhe kemikalije</w:t>
            </w:r>
            <w:r>
              <w:rPr>
                <w:rFonts w:ascii="Garamond" w:eastAsia="Times New Roman" w:hAnsi="Garamond" w:cs="Times New Roman"/>
                <w:lang w:eastAsia="hr-HR"/>
              </w:rPr>
              <w:t>. Veće požare suzbijati pjenom.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8E143C" w:rsidRPr="005D6523" w:rsidRDefault="006E0430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Ugljikov dioksid (CO</w:t>
            </w:r>
            <w:r w:rsidRPr="009E5B12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). </w:t>
            </w:r>
            <w:r w:rsidR="008E143C"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8E143C" w:rsidRPr="005D6523" w:rsidRDefault="008E143C" w:rsidP="006E04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Ugljikov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monoksid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, ugljikov dioksid, vodikov klorid, </w:t>
            </w:r>
            <w:r w:rsidR="006E0430">
              <w:rPr>
                <w:rFonts w:ascii="Garamond" w:eastAsia="Times New Roman" w:hAnsi="Garamond" w:cs="Times New Roman"/>
                <w:lang w:eastAsia="hr-HR"/>
              </w:rPr>
              <w:t>dušikovi oksidi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organoklorni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spojevi.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8E143C" w:rsidRPr="005D6523" w:rsidTr="000A180E">
        <w:trPr>
          <w:cantSplit/>
          <w:trHeight w:val="678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(raspršena voda).</w:t>
            </w:r>
          </w:p>
        </w:tc>
      </w:tr>
      <w:tr w:rsidR="008E143C" w:rsidRPr="005D6523" w:rsidTr="000A180E">
        <w:trPr>
          <w:cantSplit/>
          <w:trHeight w:val="678"/>
        </w:trPr>
        <w:tc>
          <w:tcPr>
            <w:tcW w:w="762" w:type="dxa"/>
            <w:vMerge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7" w:type="dxa"/>
            <w:gridSpan w:val="13"/>
            <w:shd w:val="clear" w:color="auto" w:fill="auto"/>
            <w:vAlign w:val="center"/>
          </w:tcPr>
          <w:p w:rsidR="008E143C" w:rsidRPr="00E17D2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5" w:type="dxa"/>
            <w:gridSpan w:val="2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požara u zatvorenim prostorima, koristiti samostalni uređaj za disanje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sa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stlačeni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zrak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om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(npr. s otvorenim krugom) (HRN EN 137), te zaštitnu odjeću za zaštitu od topline i vatre (HRN EN 367).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 MJERE KOD SLUČAJNOG ISPUŠTANJA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6.1. Osobne mjere opreza, zaštitna oprema i postupci u slučaju opasnosti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8E143C" w:rsidRPr="004A0D9A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6473A2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6473A2" w:rsidRPr="005D6523" w:rsidRDefault="006473A2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6473A2" w:rsidRPr="004A0D9A" w:rsidRDefault="006473A2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6473A2" w:rsidRPr="005D6523" w:rsidRDefault="006473A2" w:rsidP="00F524E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 udisati prašinu. Koristiti propisanu zaštitnu opremu (vidjeti odjeljak 8). Izbjegavati dodir s kožom, očima i odjećom.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se uputa o radu s proizvodom. O</w:t>
            </w:r>
            <w:r>
              <w:rPr>
                <w:rFonts w:ascii="Garamond" w:eastAsia="Times New Roman" w:hAnsi="Garamond" w:cs="Times New Roman"/>
                <w:lang w:eastAsia="hr-HR"/>
              </w:rPr>
              <w:t>sigurati adekvatnu ventilaciju.</w:t>
            </w:r>
          </w:p>
        </w:tc>
      </w:tr>
      <w:tr w:rsidR="006473A2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6473A2" w:rsidRPr="005D6523" w:rsidRDefault="006473A2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6473A2" w:rsidRPr="004A0D9A" w:rsidRDefault="006473A2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6473A2" w:rsidRPr="005D6523" w:rsidRDefault="006473A2" w:rsidP="00F524E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>
              <w:rPr>
                <w:rFonts w:ascii="Garamond" w:eastAsia="Times New Roman" w:hAnsi="Garamond" w:cs="Times New Roman"/>
                <w:lang w:eastAsia="hr-HR"/>
              </w:rPr>
              <w:t>prosipanja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hr-HR"/>
              </w:rPr>
              <w:t>mehanički pokupiti koristeći prikladni alat (npr. lopata, metla i sl.), te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prebaciti u spremnike koji se mogu hermetički zatvoriti. Predati na zbrinjavanje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pravnim osobama ovlaštenim od m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inistarstva </w:t>
            </w:r>
            <w:r>
              <w:rPr>
                <w:rFonts w:ascii="Garamond" w:eastAsia="Times New Roman" w:hAnsi="Garamond" w:cs="Times New Roman"/>
                <w:lang w:eastAsia="hr-HR"/>
              </w:rPr>
              <w:t>nadležnog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6473A2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dosp</w:t>
            </w:r>
            <w:r w:rsidR="0001691A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jeće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u vodotokove i drenažne sustave. Omogućiti adekvatnu ventilaciju. U slučaju većih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prosipanja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8E143C" w:rsidRPr="004A0D9A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8E143C" w:rsidRPr="005D6523" w:rsidRDefault="006473A2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8E143C" w:rsidRPr="004A0D9A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Lopata, metla i sl.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8E143C" w:rsidRPr="004A0D9A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796" w:type="dxa"/>
            <w:gridSpan w:val="2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 RUKOVANJE I SKLADIŠTENJE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BB67B7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B67B7" w:rsidRPr="005D6523" w:rsidRDefault="00BB67B7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BB67B7" w:rsidRPr="00035196" w:rsidRDefault="00BB67B7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B67B7" w:rsidRPr="005D6523" w:rsidRDefault="00BB67B7" w:rsidP="00F524E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Spriječiti prašenje. Prašina može stvoriti eksplozivnu smjesu sa zrakom. Spriječiti pojavu elektrostatskog naboja te držati podalje od izvora paljenja.</w:t>
            </w:r>
          </w:p>
        </w:tc>
      </w:tr>
      <w:tr w:rsidR="00BB67B7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B67B7" w:rsidRPr="005D6523" w:rsidRDefault="00BB67B7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BB67B7" w:rsidRPr="00035196" w:rsidRDefault="00BB67B7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B67B7" w:rsidRPr="005D6523" w:rsidRDefault="00BB67B7" w:rsidP="00F524E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Koristiti proizvod samo u provjetrenim prostorijama, osigurati pri radu prozračivanje koje osigurava manje koncentracije </w:t>
            </w:r>
            <w:r>
              <w:rPr>
                <w:rFonts w:ascii="Garamond" w:eastAsia="Times New Roman" w:hAnsi="Garamond" w:cs="Times New Roman"/>
                <w:lang w:eastAsia="hr-HR"/>
              </w:rPr>
              <w:t>prašine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zraku od graničnih vrijednosti izloženosti.</w:t>
            </w:r>
          </w:p>
        </w:tc>
      </w:tr>
      <w:tr w:rsidR="00BB67B7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BB67B7" w:rsidRPr="005D6523" w:rsidRDefault="00BB67B7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4" w:type="dxa"/>
            <w:gridSpan w:val="16"/>
            <w:shd w:val="clear" w:color="auto" w:fill="auto"/>
            <w:vAlign w:val="center"/>
          </w:tcPr>
          <w:p w:rsidR="00BB67B7" w:rsidRPr="00035196" w:rsidRDefault="00BB67B7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78" w:type="dxa"/>
            <w:gridSpan w:val="20"/>
            <w:shd w:val="clear" w:color="auto" w:fill="auto"/>
            <w:vAlign w:val="center"/>
          </w:tcPr>
          <w:p w:rsidR="00BB67B7" w:rsidRPr="005D6523" w:rsidRDefault="00BB67B7" w:rsidP="00F524E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>
              <w:rPr>
                <w:rFonts w:ascii="Garamond" w:eastAsia="Times New Roman" w:hAnsi="Garamond" w:cs="Times New Roman"/>
                <w:lang w:eastAsia="hr-HR"/>
              </w:rPr>
              <w:t>dosp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>i</w:t>
            </w:r>
            <w:r>
              <w:rPr>
                <w:rFonts w:ascii="Garamond" w:eastAsia="Times New Roman" w:hAnsi="Garamond" w:cs="Times New Roman"/>
                <w:lang w:eastAsia="hr-HR"/>
              </w:rPr>
              <w:t>jeće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2" w:type="dxa"/>
            <w:gridSpan w:val="3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Prati ruke po završetku posla i prije svake pauze. Tijekom posla ne jesti, piti niti pušiti. Odmah skinutu i oprati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hladnom, suhom i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dobro provjetrenom mjestu.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Zaštititi od izvora topline. Zaštititi od direktnog sunčevog svjetla. Skladištiti podalje od hrane, pića i stočne hrane. 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Originalni spremnici proizvođača.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BB67B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Zaštititi od temperatura iznad 30 </w:t>
            </w:r>
            <w:proofErr w:type="spellStart"/>
            <w:r w:rsidRPr="003C2D6E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. (svojstva proizvoda mogu se mijenjati ukoliko se duže vrijeme skladišti iznad navedene temperature).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Nisu potrebne nikakve posebne mjere.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BB67B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Maksimalno vrijeme skladištenja: </w:t>
            </w:r>
            <w:r w:rsidR="00BB67B7">
              <w:rPr>
                <w:rFonts w:ascii="Garamond" w:eastAsia="Times New Roman" w:hAnsi="Garamond" w:cs="Times New Roman"/>
                <w:lang w:eastAsia="hr-HR"/>
              </w:rPr>
              <w:t>24 mjeseca.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501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1" w:type="dxa"/>
            <w:gridSpan w:val="1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 NADZOR NAD IZLOŽENOŠĆU / OSOBNA ZAŠTITA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8E143C" w:rsidRPr="005D6523" w:rsidTr="000A180E">
        <w:trPr>
          <w:cantSplit/>
        </w:trPr>
        <w:tc>
          <w:tcPr>
            <w:tcW w:w="2802" w:type="dxa"/>
            <w:gridSpan w:val="9"/>
            <w:vMerge w:val="restart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2"/>
            <w:vMerge w:val="restart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3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(ppm / mg/m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</w:t>
            </w:r>
          </w:p>
        </w:tc>
        <w:tc>
          <w:tcPr>
            <w:tcW w:w="3188" w:type="dxa"/>
            <w:gridSpan w:val="3"/>
            <w:vMerge w:val="restart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8E143C" w:rsidRPr="005D6523" w:rsidTr="000A180E">
        <w:trPr>
          <w:cantSplit/>
        </w:trPr>
        <w:tc>
          <w:tcPr>
            <w:tcW w:w="2802" w:type="dxa"/>
            <w:gridSpan w:val="9"/>
            <w:vMerge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2"/>
            <w:vMerge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88" w:type="dxa"/>
            <w:gridSpan w:val="3"/>
            <w:vMerge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2802" w:type="dxa"/>
            <w:gridSpan w:val="9"/>
            <w:shd w:val="clear" w:color="auto" w:fill="auto"/>
            <w:vAlign w:val="center"/>
          </w:tcPr>
          <w:p w:rsidR="008E143C" w:rsidRPr="005D6523" w:rsidRDefault="007C3547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Kaolin </w:t>
            </w:r>
          </w:p>
        </w:tc>
        <w:tc>
          <w:tcPr>
            <w:tcW w:w="1623" w:type="dxa"/>
            <w:gridSpan w:val="12"/>
            <w:shd w:val="clear" w:color="auto" w:fill="auto"/>
            <w:vAlign w:val="center"/>
          </w:tcPr>
          <w:p w:rsidR="008E143C" w:rsidRPr="005D6523" w:rsidRDefault="007C3547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133258-7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8E143C" w:rsidRDefault="007C3547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7C3547">
              <w:rPr>
                <w:rFonts w:ascii="Garamond" w:eastAsia="Times New Roman" w:hAnsi="Garamond" w:cs="Times New Roman"/>
                <w:lang w:eastAsia="hr-HR"/>
              </w:rPr>
              <w:t>2 (R)</w:t>
            </w:r>
          </w:p>
        </w:tc>
        <w:tc>
          <w:tcPr>
            <w:tcW w:w="1351" w:type="dxa"/>
            <w:gridSpan w:val="4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 w:rsidRPr="005D6523">
              <w:rPr>
                <w:rFonts w:ascii="Garamond" w:eastAsia="Malgun Gothic" w:hAnsi="Garamond" w:cs="Times New Roman"/>
                <w:iCs/>
                <w:lang w:eastAsia="hr-HR"/>
              </w:rPr>
              <w:t xml:space="preserve">Učinkovitosti prozračivanja i/ili ostalih poduzetih tehničkih mjera mogu se naći u HRN EN 689 - </w:t>
            </w:r>
            <w:r w:rsidRPr="005D6523">
              <w:rPr>
                <w:rFonts w:ascii="Garamond" w:eastAsia="Malgun Gothic" w:hAnsi="Garamond" w:cs="Arial"/>
                <w:iCs/>
                <w:lang w:eastAsia="hr-HR"/>
              </w:rPr>
              <w:t>Atmosfere radnih mjesta - Smjernica za ocjenu izloženosti kemijskim tvarima udisanjem za usporedbu s graničnim vrijednostima i za strategiju mjerenja.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Osobna zaštita</w:t>
            </w:r>
          </w:p>
        </w:tc>
      </w:tr>
      <w:tr w:rsidR="008E143C" w:rsidRPr="005D6523" w:rsidTr="000A180E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1B5463D0" wp14:editId="0F85F5E3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s bočnim štitnicima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(HRN EN 166).</w:t>
            </w:r>
          </w:p>
        </w:tc>
      </w:tr>
      <w:tr w:rsidR="008E143C" w:rsidRPr="005D6523" w:rsidTr="000A180E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E7210DD" wp14:editId="28FDE68C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Zaštitne rukavice (HRN EN 374).</w:t>
            </w:r>
          </w:p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(Preporuka: zaštitni indeks: 6; vrijeme prodora: &gt; 480 min.; materijal: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nitrilna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(0.4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kloroprenska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(0.5 mm),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butilna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guma (0.7 mm))</w:t>
            </w:r>
          </w:p>
        </w:tc>
      </w:tr>
      <w:tr w:rsidR="008E143C" w:rsidRPr="005D6523" w:rsidTr="000A180E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DD4AE04" wp14:editId="5324ABFD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40E6EF43" wp14:editId="7675BBD2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E143C" w:rsidRPr="000B15B5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Zaštita tijela i nogu bira se ovisno o aktivnostima i mogućnostima izlaganja proizvodu, npr. zaštitna odjeća dugih rukava i nogavica (HRN EN 340), obuća koja obuhvaća cijelo stopalo (HRN EN 13832). Prema potrebi koristiti pregaču i/ili druga sredstva zaštite.</w:t>
            </w:r>
          </w:p>
        </w:tc>
      </w:tr>
      <w:tr w:rsidR="008E143C" w:rsidRPr="005D6523" w:rsidTr="000A180E">
        <w:trPr>
          <w:cantSplit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Zaštita dišnog sustava:</w:t>
            </w:r>
          </w:p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32E486CB" wp14:editId="0413D551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0"/>
            <w:shd w:val="clear" w:color="auto" w:fill="auto"/>
            <w:vAlign w:val="center"/>
          </w:tcPr>
          <w:p w:rsidR="008E143C" w:rsidRPr="005D6523" w:rsidRDefault="00013A03" w:rsidP="00E5089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Prilikom dugotrajnog ili opetovanog izlaganja u slučaju prašenja proizvoda, koristiti filtarsku polumasku za zaštitu od čestica</w:t>
            </w:r>
            <w:r w:rsidR="00E50895">
              <w:rPr>
                <w:rFonts w:ascii="Garamond" w:eastAsia="Times New Roman" w:hAnsi="Garamond" w:cs="Times New Roman"/>
                <w:lang w:eastAsia="hr-HR"/>
              </w:rPr>
              <w:t xml:space="preserve"> -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E50895">
              <w:rPr>
                <w:rFonts w:ascii="Garamond" w:eastAsia="Times New Roman" w:hAnsi="Garamond" w:cs="Times New Roman"/>
                <w:lang w:eastAsia="hr-HR"/>
              </w:rPr>
              <w:t xml:space="preserve">FFP2 </w:t>
            </w:r>
            <w:r>
              <w:rPr>
                <w:rFonts w:ascii="Garamond" w:eastAsia="Times New Roman" w:hAnsi="Garamond" w:cs="Times New Roman"/>
                <w:lang w:eastAsia="hr-HR"/>
              </w:rPr>
              <w:t>(HRN EN 149) ili polumasku (HRN EN 140) s filtrom za čestice (HRN EN 143) tipa P2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 FIZIKALNA I KEMIJSKA SVOJSTVA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Vrijednost / Metoda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2E77F8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Prah 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    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2E77F8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Bež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1691A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2E77F8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Blagi 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 xml:space="preserve"> – </w:t>
            </w: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(1 %-</w:t>
            </w:r>
            <w:proofErr w:type="spellStart"/>
            <w:r w:rsidR="008E143C">
              <w:rPr>
                <w:rFonts w:ascii="Garamond" w:eastAsia="Times New Roman" w:hAnsi="Garamond" w:cs="Times New Roman"/>
                <w:lang w:eastAsia="hr-HR"/>
              </w:rPr>
              <w:t>tna</w:t>
            </w:r>
            <w:proofErr w:type="spellEnd"/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otopina 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 xml:space="preserve">kao suspenzija; 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>2</w:t>
            </w:r>
            <w:r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8E143C" w:rsidRPr="009327D7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 w:rsidR="008E143C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Talište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&gt; 460 (podatak se odnosi na aktivni sastojak)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je nehlapiva krutina.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(n-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butil</w:t>
            </w:r>
            <w:proofErr w:type="spellEnd"/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</w:t>
            </w:r>
            <w:r w:rsidR="00635BB3">
              <w:rPr>
                <w:rFonts w:ascii="Garamond" w:eastAsia="Times New Roman" w:hAnsi="Garamond" w:cs="Times New Roman"/>
                <w:lang w:eastAsia="hr-HR"/>
              </w:rPr>
              <w:t>ni</w:t>
            </w:r>
            <w:r>
              <w:rPr>
                <w:rFonts w:ascii="Garamond" w:eastAsia="Times New Roman" w:hAnsi="Garamond" w:cs="Times New Roman"/>
                <w:lang w:eastAsia="hr-HR"/>
              </w:rPr>
              <w:t>je zapaljiv.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[% vol.]: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očekuju se opasnosti ako se proizvod koristi u skladu s uputama i namjenom.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Tlak para [</w:t>
            </w:r>
            <w:proofErr w:type="spellStart"/>
            <w:r>
              <w:rPr>
                <w:rFonts w:ascii="Garamond" w:eastAsia="Times New Roman" w:hAnsi="Garamond" w:cs="Arial"/>
                <w:b/>
                <w:lang w:eastAsia="hr-HR"/>
              </w:rPr>
              <w:t>kPa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[g/cm</w:t>
            </w:r>
            <w:r w:rsidRPr="00833259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300</w:t>
            </w:r>
            <w:r w:rsidR="0001691A">
              <w:rPr>
                <w:rFonts w:ascii="Garamond" w:eastAsia="Times New Roman" w:hAnsi="Garamond" w:cs="Times New Roman"/>
                <w:lang w:eastAsia="hr-HR"/>
              </w:rPr>
              <w:t xml:space="preserve"> – 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400 (20 </w:t>
            </w:r>
            <w:proofErr w:type="spellStart"/>
            <w:r w:rsidRPr="003C2D6E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Topljivost (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voda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 [% vol.]: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635BB3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Disperzibilno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/voda (log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samozapaljenja [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01691A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samozapaljiv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Temperatura raspada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A65A5F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raspada se pri propisanim uvjetima korištenja i skladištenja.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EA282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r w:rsidR="00EA2822">
              <w:rPr>
                <w:rFonts w:ascii="Garamond" w:eastAsia="Times New Roman" w:hAnsi="Garamond" w:cs="Arial"/>
                <w:b/>
                <w:lang w:eastAsia="hr-HR"/>
              </w:rPr>
              <w:t>dinamička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proofErr w:type="spellStart"/>
            <w:r w:rsidR="00EA2822">
              <w:rPr>
                <w:rFonts w:ascii="Garamond" w:eastAsia="Times New Roman" w:hAnsi="Garamond" w:cs="Arial"/>
                <w:b/>
                <w:lang w:eastAsia="hr-HR"/>
              </w:rPr>
              <w:t>mPa.s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]: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EA2822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primjenjivo, proizvod je krutina.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01691A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nije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oksidativan</w:t>
            </w:r>
            <w:proofErr w:type="spellEnd"/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8E143C" w:rsidRPr="005D6523" w:rsidTr="000A180E">
        <w:trPr>
          <w:cantSplit/>
        </w:trPr>
        <w:tc>
          <w:tcPr>
            <w:tcW w:w="762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0" w:type="dxa"/>
            <w:gridSpan w:val="26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-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 STABILNOST I REAKTIVNOST</w:t>
            </w:r>
          </w:p>
        </w:tc>
      </w:tr>
      <w:tr w:rsidR="008E143C" w:rsidRPr="005D6523" w:rsidTr="000A180E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10.1. Reaktivnost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8E143C" w:rsidRPr="005D6523" w:rsidTr="000A180E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Stabilno u preporučenim uvjetima korištenja i skladištenja.</w:t>
            </w:r>
          </w:p>
        </w:tc>
      </w:tr>
      <w:tr w:rsidR="008E143C" w:rsidRPr="005D6523" w:rsidTr="000A180E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Vidjeti odjeljak 7.</w:t>
            </w:r>
          </w:p>
        </w:tc>
      </w:tr>
      <w:tr w:rsidR="008E143C" w:rsidRPr="005D6523" w:rsidTr="000A180E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Snažne kiseline, snažne lužine, snažni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oksidansi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3331" w:type="dxa"/>
            <w:gridSpan w:val="13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</w:p>
        </w:tc>
        <w:tc>
          <w:tcPr>
            <w:tcW w:w="6983" w:type="dxa"/>
            <w:gridSpan w:val="2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Nema opasnih proizvoda raspada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u preporučenim uvjetima korištenja i skladištenja.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 TOKSIKOLOŠKE INFORMACIJE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8E143C" w:rsidRPr="005D6523" w:rsidTr="000A180E">
        <w:trPr>
          <w:cantSplit/>
        </w:trPr>
        <w:tc>
          <w:tcPr>
            <w:tcW w:w="1796" w:type="dxa"/>
            <w:gridSpan w:val="5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1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0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1682" w:type="dxa"/>
            <w:gridSpan w:val="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Doza LD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ili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ATE</w:t>
            </w:r>
            <w:r w:rsidRPr="005D6523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smjese</w:t>
            </w:r>
            <w:proofErr w:type="spellEnd"/>
          </w:p>
        </w:tc>
        <w:tc>
          <w:tcPr>
            <w:tcW w:w="1808" w:type="dxa"/>
            <w:gridSpan w:val="3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09" w:type="dxa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8E143C" w:rsidRPr="005D6523" w:rsidTr="000A180E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8E143C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eksperimentalni podaci/izračun</w:t>
            </w:r>
          </w:p>
        </w:tc>
        <w:tc>
          <w:tcPr>
            <w:tcW w:w="1714" w:type="dxa"/>
            <w:gridSpan w:val="10"/>
            <w:shd w:val="clear" w:color="auto" w:fill="auto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</w:tcPr>
          <w:p w:rsidR="008E143C" w:rsidRPr="005D6523" w:rsidRDefault="008E143C" w:rsidP="008571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24EEA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924EEA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8571F5">
              <w:rPr>
                <w:rFonts w:ascii="Garamond" w:eastAsia="Times New Roman" w:hAnsi="Garamond" w:cs="Times New Roman"/>
                <w:lang w:eastAsia="hr-HR"/>
              </w:rPr>
              <w:t>= 1278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mg/kg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8E143C" w:rsidRPr="00370F26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eksperimentalni podaci/izračun</w:t>
            </w:r>
          </w:p>
        </w:tc>
        <w:tc>
          <w:tcPr>
            <w:tcW w:w="1714" w:type="dxa"/>
            <w:gridSpan w:val="10"/>
            <w:shd w:val="clear" w:color="auto" w:fill="auto"/>
          </w:tcPr>
          <w:p w:rsidR="008E143C" w:rsidRPr="00370F26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</w:tcPr>
          <w:p w:rsidR="008E143C" w:rsidRPr="00370F26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24EEA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924EEA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8571F5">
              <w:rPr>
                <w:rFonts w:ascii="Garamond" w:eastAsia="Times New Roman" w:hAnsi="Garamond" w:cs="Times New Roman"/>
                <w:lang w:eastAsia="hr-HR"/>
              </w:rPr>
              <w:t>&gt; 4</w:t>
            </w:r>
            <w:r>
              <w:rPr>
                <w:rFonts w:ascii="Garamond" w:eastAsia="Times New Roman" w:hAnsi="Garamond" w:cs="Times New Roman"/>
                <w:lang w:eastAsia="hr-HR"/>
              </w:rPr>
              <w:t>000 mg/kg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796" w:type="dxa"/>
            <w:gridSpan w:val="5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:rsidR="008E143C" w:rsidRPr="005D6523" w:rsidRDefault="0001691A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eksperimentalni podaci/izračun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štakor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8E143C" w:rsidRPr="005D6523" w:rsidRDefault="008E143C" w:rsidP="008571F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D5346">
              <w:rPr>
                <w:rFonts w:ascii="Garamond" w:eastAsia="Times New Roman" w:hAnsi="Garamond" w:cs="Times New Roman"/>
                <w:b/>
                <w:lang w:eastAsia="hr-HR"/>
              </w:rPr>
              <w:t>LC50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 </w:t>
            </w:r>
            <w:r w:rsidR="008571F5">
              <w:rPr>
                <w:rFonts w:ascii="Garamond" w:eastAsia="Times New Roman" w:hAnsi="Garamond" w:cs="Times New Roman"/>
                <w:lang w:eastAsia="hr-HR"/>
              </w:rPr>
              <w:t>= 2.1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mg/L 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 h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8E143C" w:rsidRPr="005D6523" w:rsidRDefault="00847109" w:rsidP="0084710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nadražuje oči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8E143C" w:rsidRPr="00B64984">
              <w:rPr>
                <w:rFonts w:ascii="Garamond" w:eastAsia="Times New Roman" w:hAnsi="Garamond" w:cs="Times New Roman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lang w:eastAsia="hr-HR"/>
              </w:rPr>
              <w:t>kunić</w:t>
            </w:r>
            <w:r w:rsidR="008E143C" w:rsidRPr="00B64984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Dišnog sustava: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8E143C" w:rsidRPr="005D6523" w:rsidRDefault="00847109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Nadražuje dišni sustav</w:t>
            </w:r>
            <w:r w:rsidR="00EC69AE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8E143C" w:rsidRPr="005D6523" w:rsidRDefault="00847109" w:rsidP="0084710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n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adražuje kožu </w:t>
            </w:r>
            <w:r w:rsidR="008E143C" w:rsidRPr="00B64984">
              <w:rPr>
                <w:rFonts w:ascii="Garamond" w:eastAsia="Times New Roman" w:hAnsi="Garamond" w:cs="Times New Roman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lang w:eastAsia="hr-HR"/>
              </w:rPr>
              <w:t>kunić</w:t>
            </w:r>
            <w:r w:rsidR="008E143C" w:rsidRPr="00B64984"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886DD6">
              <w:rPr>
                <w:rFonts w:ascii="Garamond" w:eastAsia="Times New Roman" w:hAnsi="Garamond" w:cs="Times New Roman"/>
                <w:lang w:eastAsia="hr-HR"/>
              </w:rPr>
              <w:t>Preosjetljivost u dodiru s kožom nije uočena u testovima na životinjama (Modifi</w:t>
            </w:r>
            <w:r w:rsidR="00847109">
              <w:rPr>
                <w:rFonts w:ascii="Garamond" w:eastAsia="Times New Roman" w:hAnsi="Garamond" w:cs="Times New Roman"/>
                <w:lang w:eastAsia="hr-HR"/>
              </w:rPr>
              <w:t xml:space="preserve">cirani </w:t>
            </w:r>
            <w:proofErr w:type="spellStart"/>
            <w:r w:rsidR="00847109">
              <w:rPr>
                <w:rFonts w:ascii="Garamond" w:eastAsia="Times New Roman" w:hAnsi="Garamond" w:cs="Times New Roman"/>
                <w:lang w:eastAsia="hr-HR"/>
              </w:rPr>
              <w:t>Buehler</w:t>
            </w:r>
            <w:proofErr w:type="spellEnd"/>
            <w:r w:rsidR="00847109">
              <w:rPr>
                <w:rFonts w:ascii="Garamond" w:eastAsia="Times New Roman" w:hAnsi="Garamond" w:cs="Times New Roman"/>
                <w:lang w:eastAsia="hr-HR"/>
              </w:rPr>
              <w:t xml:space="preserve"> test na zamorcu).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2" w:type="dxa"/>
            <w:gridSpan w:val="2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subakutna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subkronična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kronična)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jednokratno izlaganje (TCOJ)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8E143C" w:rsidRPr="005D6523" w:rsidRDefault="00193AAA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Uzrokuje privremeno nadraživanje dišnog sustava.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B32E14" w:rsidRDefault="00B32E14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 Podaci se odnose na svojstva pojedinih komponenti.</w:t>
            </w:r>
          </w:p>
          <w:p w:rsidR="008E143C" w:rsidRDefault="00B32E14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Tebufenpirad</w:t>
            </w:r>
            <w:proofErr w:type="spellEnd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:</w:t>
            </w:r>
          </w:p>
          <w:p w:rsidR="00B32E14" w:rsidRDefault="00B32E14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Ponavljano izlaganje može uzrokovati oštećenje gastrointestinalnog trakta.</w:t>
            </w:r>
          </w:p>
          <w:p w:rsidR="00B32E14" w:rsidRDefault="00B32E14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 xml:space="preserve">Natrijev </w:t>
            </w:r>
            <w:proofErr w:type="spellStart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dodecil</w:t>
            </w:r>
            <w:proofErr w:type="spellEnd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 xml:space="preserve"> sulfat:</w:t>
            </w:r>
          </w:p>
          <w:p w:rsidR="00B32E14" w:rsidRDefault="00B32E14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Provedenim studijama na životinjama uočeni su adaptivni učinci nakon ponavljanog izlaganja.</w:t>
            </w:r>
          </w:p>
          <w:p w:rsidR="00B32E14" w:rsidRDefault="00B32E14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Učestalo izlaganje velikim količinama može imati štetne učinke na određene organe.</w:t>
            </w:r>
          </w:p>
          <w:p w:rsidR="00A04228" w:rsidRDefault="00A04228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 xml:space="preserve">Silicijev </w:t>
            </w:r>
            <w:proofErr w:type="spellStart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diksid</w:t>
            </w:r>
            <w:proofErr w:type="spellEnd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:</w:t>
            </w:r>
          </w:p>
          <w:p w:rsidR="00A04228" w:rsidRDefault="00A04228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Učestalo udisanje čestica</w:t>
            </w:r>
            <w:r w:rsidR="008F4D1A">
              <w:rPr>
                <w:rFonts w:ascii="Garamond" w:eastAsia="Times New Roman" w:hAnsi="Garamond" w:cs="Times New Roman"/>
                <w:lang w:eastAsia="hr-HR"/>
              </w:rPr>
              <w:t xml:space="preserve"> prašine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8F4D1A">
              <w:rPr>
                <w:rFonts w:ascii="Garamond" w:eastAsia="Times New Roman" w:hAnsi="Garamond" w:cs="Times New Roman"/>
                <w:lang w:eastAsia="hr-HR"/>
              </w:rPr>
              <w:t>silicijevog dioksida može uzrokovati oštećenje pluća (alveola).</w:t>
            </w:r>
          </w:p>
          <w:p w:rsidR="00A15457" w:rsidRDefault="00A15457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A15457">
              <w:rPr>
                <w:rFonts w:ascii="Garamond" w:eastAsia="Times New Roman" w:hAnsi="Garamond" w:cs="Times New Roman"/>
                <w:u w:val="single"/>
                <w:lang w:eastAsia="hr-HR"/>
              </w:rPr>
              <w:t>Silika</w:t>
            </w:r>
            <w:proofErr w:type="spellEnd"/>
            <w:r w:rsidRPr="00A15457">
              <w:rPr>
                <w:rFonts w:ascii="Garamond" w:eastAsia="Times New Roman" w:hAnsi="Garamond" w:cs="Times New Roman"/>
                <w:u w:val="single"/>
                <w:lang w:eastAsia="hr-HR"/>
              </w:rPr>
              <w:t xml:space="preserve"> gel, precipitiran, bez kristala</w:t>
            </w:r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:</w:t>
            </w:r>
          </w:p>
          <w:p w:rsidR="00A15457" w:rsidRPr="00A15457" w:rsidRDefault="00A15457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Može uzrokovati oštećenje pluća nakon učestalog udisanja visokih doza.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CMR učinci (karcinogenost,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, reproduktivna toksičnost)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8E143C" w:rsidRPr="00370F26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35" w:type="dxa"/>
            <w:gridSpan w:val="1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8E143C" w:rsidRPr="005D6523" w:rsidRDefault="00C35C49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8E143C" w:rsidRPr="005D6523" w:rsidRDefault="0001691A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Pogrešno korištenje može biti štetno za zdravlje.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 EKOLOŠKE INFORMACIJE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12.1.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rPr>
                <w:rFonts w:ascii="Garamond" w:hAnsi="Garamond" w:cs="Times New Roman"/>
              </w:rPr>
            </w:pPr>
            <w:r w:rsidRPr="009E5B12">
              <w:rPr>
                <w:rFonts w:ascii="Garamond" w:hAnsi="Garamond" w:cs="Times New Roman"/>
              </w:rPr>
              <w:t>Vrlo otrovno za vodeni okoliš, s dugotrajnim učincima.</w:t>
            </w:r>
          </w:p>
          <w:p w:rsidR="0001691A" w:rsidRDefault="0001691A" w:rsidP="000A180E">
            <w:pPr>
              <w:spacing w:before="40" w:after="40" w:line="240" w:lineRule="auto"/>
              <w:rPr>
                <w:rFonts w:ascii="Garamond" w:hAnsi="Garamond" w:cs="Times New Roman"/>
              </w:rPr>
            </w:pPr>
          </w:p>
          <w:p w:rsidR="008E143C" w:rsidRPr="006851CF" w:rsidRDefault="008E143C" w:rsidP="000A180E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Ribe: LC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 w:rsidR="00B61D40">
              <w:rPr>
                <w:rFonts w:ascii="Garamond" w:hAnsi="Garamond" w:cs="Times New Roman"/>
              </w:rPr>
              <w:t xml:space="preserve"> (96 h): 0.019</w:t>
            </w:r>
            <w:r>
              <w:rPr>
                <w:rFonts w:ascii="Garamond" w:hAnsi="Garamond" w:cs="Times New Roman"/>
              </w:rPr>
              <w:t xml:space="preserve"> mg/L, </w:t>
            </w:r>
            <w:proofErr w:type="spellStart"/>
            <w:r>
              <w:rPr>
                <w:rFonts w:ascii="Garamond" w:hAnsi="Garamond" w:cs="Times New Roman"/>
                <w:i/>
              </w:rPr>
              <w:t>Onchorhynchus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</w:rPr>
              <w:t>mykiss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</w:t>
            </w:r>
          </w:p>
          <w:p w:rsidR="008E143C" w:rsidRDefault="008E143C" w:rsidP="000A180E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Vodeni beskralješnjaci: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(48</w:t>
            </w:r>
            <w:r w:rsidR="00B61D40">
              <w:rPr>
                <w:rFonts w:ascii="Garamond" w:hAnsi="Garamond" w:cs="Times New Roman"/>
              </w:rPr>
              <w:t xml:space="preserve"> h): 0.277</w:t>
            </w:r>
            <w:r>
              <w:rPr>
                <w:rFonts w:ascii="Garamond" w:hAnsi="Garamond" w:cs="Times New Roman"/>
              </w:rPr>
              <w:t xml:space="preserve"> mg/L, </w:t>
            </w:r>
            <w:proofErr w:type="spellStart"/>
            <w:r>
              <w:rPr>
                <w:rFonts w:ascii="Garamond" w:hAnsi="Garamond" w:cs="Times New Roman"/>
                <w:i/>
              </w:rPr>
              <w:t>Daphnia</w:t>
            </w:r>
            <w:proofErr w:type="spellEnd"/>
            <w:r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i/>
              </w:rPr>
              <w:t>magna</w:t>
            </w:r>
            <w:proofErr w:type="spellEnd"/>
            <w:r>
              <w:rPr>
                <w:rFonts w:ascii="Garamond" w:hAnsi="Garamond" w:cs="Times New Roman"/>
              </w:rPr>
              <w:t xml:space="preserve"> </w:t>
            </w:r>
          </w:p>
          <w:p w:rsidR="008E143C" w:rsidRPr="00700B50" w:rsidRDefault="008E143C" w:rsidP="00B61D40">
            <w:pPr>
              <w:spacing w:before="40" w:after="40" w:line="240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Vodeno bilje: EC</w:t>
            </w:r>
            <w:r w:rsidRPr="00833259">
              <w:rPr>
                <w:rFonts w:ascii="Garamond" w:hAnsi="Garamond" w:cs="Times New Roman"/>
                <w:vertAlign w:val="subscript"/>
              </w:rPr>
              <w:t>50</w:t>
            </w:r>
            <w:r>
              <w:rPr>
                <w:rFonts w:ascii="Garamond" w:hAnsi="Garamond" w:cs="Times New Roman"/>
              </w:rPr>
              <w:t xml:space="preserve"> (72 h): </w:t>
            </w:r>
            <w:r w:rsidR="00B61D40">
              <w:rPr>
                <w:rFonts w:ascii="Garamond" w:hAnsi="Garamond" w:cs="Times New Roman"/>
              </w:rPr>
              <w:t>6.6 mg/L</w:t>
            </w:r>
            <w:r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700B50">
              <w:rPr>
                <w:rFonts w:ascii="Garamond" w:hAnsi="Garamond" w:cs="Times New Roman"/>
                <w:i/>
              </w:rPr>
              <w:t>Pseudokirchneriella</w:t>
            </w:r>
            <w:proofErr w:type="spellEnd"/>
            <w:r w:rsidRPr="00700B50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Pr="00700B50">
              <w:rPr>
                <w:rFonts w:ascii="Garamond" w:hAnsi="Garamond" w:cs="Times New Roman"/>
                <w:i/>
              </w:rPr>
              <w:t>subcapitata</w:t>
            </w:r>
            <w:proofErr w:type="spellEnd"/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8E143C" w:rsidRPr="005D6523" w:rsidTr="000A180E">
        <w:trPr>
          <w:cantSplit/>
          <w:trHeight w:val="266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  <w:trHeight w:val="213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8E143C" w:rsidRDefault="00EA2638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 Podaci se odnose na svojstva pojedinih komponenti.</w:t>
            </w:r>
          </w:p>
          <w:p w:rsidR="00EA2638" w:rsidRDefault="00EA2638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u w:val="single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Tebufenpirad</w:t>
            </w:r>
            <w:proofErr w:type="spellEnd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:</w:t>
            </w:r>
          </w:p>
          <w:p w:rsidR="00EA2638" w:rsidRPr="00EA2638" w:rsidRDefault="00EA2638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A2638">
              <w:rPr>
                <w:rFonts w:ascii="Garamond" w:eastAsia="Times New Roman" w:hAnsi="Garamond" w:cs="Times New Roman"/>
                <w:lang w:eastAsia="hr-HR"/>
              </w:rPr>
              <w:t xml:space="preserve">Nema značajne </w:t>
            </w:r>
            <w:proofErr w:type="spellStart"/>
            <w:r w:rsidRPr="00EA2638">
              <w:rPr>
                <w:rFonts w:ascii="Garamond" w:eastAsia="Times New Roman" w:hAnsi="Garamond" w:cs="Times New Roman"/>
                <w:lang w:eastAsia="hr-HR"/>
              </w:rPr>
              <w:t>biorazgradnje</w:t>
            </w:r>
            <w:proofErr w:type="spellEnd"/>
            <w:r w:rsidRPr="00EA2638">
              <w:rPr>
                <w:rFonts w:ascii="Garamond" w:eastAsia="Times New Roman" w:hAnsi="Garamond" w:cs="Times New Roman"/>
                <w:lang w:eastAsia="hr-HR"/>
              </w:rPr>
              <w:t xml:space="preserve"> (OECD).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12.3.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Bioakumulacijski</w:t>
            </w:r>
            <w:proofErr w:type="spellEnd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potencijal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Koeficijent raspodjele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oktanol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/ voda (log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Pow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):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Faktor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biokoncentracije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 (BCF):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F524E5" w:rsidRDefault="00F524E5" w:rsidP="00F524E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ispitan. Podaci se odnose na svojstva pojedinih komponenti.</w:t>
            </w:r>
          </w:p>
          <w:p w:rsidR="008E143C" w:rsidRDefault="00F524E5" w:rsidP="00F524E5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Tebufenpirad</w:t>
            </w:r>
            <w:proofErr w:type="spellEnd"/>
            <w:r>
              <w:rPr>
                <w:rFonts w:ascii="Garamond" w:eastAsia="Times New Roman" w:hAnsi="Garamond" w:cs="Times New Roman"/>
                <w:u w:val="single"/>
                <w:lang w:eastAsia="hr-HR"/>
              </w:rPr>
              <w:t>:</w:t>
            </w:r>
          </w:p>
          <w:p w:rsidR="00F524E5" w:rsidRDefault="00F524E5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BCF: 33 (OECD 305 E)</w:t>
            </w:r>
          </w:p>
          <w:p w:rsidR="008E143C" w:rsidRPr="005D6523" w:rsidRDefault="00F524E5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akumulira</w:t>
            </w:r>
            <w:r w:rsidR="008E143C">
              <w:rPr>
                <w:rFonts w:ascii="Garamond" w:eastAsia="Times New Roman" w:hAnsi="Garamond" w:cs="Times New Roman"/>
                <w:lang w:eastAsia="hr-HR"/>
              </w:rPr>
              <w:t xml:space="preserve"> u organizmima.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Kronična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ekotoksičnost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8E143C" w:rsidRPr="005D6523" w:rsidRDefault="00B353B4" w:rsidP="000A180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2" w:type="dxa"/>
            <w:gridSpan w:val="26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 xml:space="preserve">Adsorpcija / </w:t>
            </w:r>
            <w:proofErr w:type="spellStart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desorpcija</w:t>
            </w:r>
            <w:proofErr w:type="spellEnd"/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19" w:type="dxa"/>
            <w:gridSpan w:val="9"/>
            <w:shd w:val="clear" w:color="auto" w:fill="auto"/>
          </w:tcPr>
          <w:p w:rsidR="00B353B4" w:rsidRPr="0001691A" w:rsidRDefault="00B353B4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01691A">
              <w:rPr>
                <w:rFonts w:ascii="Garamond" w:eastAsia="Times New Roman" w:hAnsi="Garamond" w:cs="Times New Roman"/>
                <w:lang w:eastAsia="hr-HR"/>
              </w:rPr>
              <w:t>Proizvod nije ispitan. Podaci se odnose na svojstva pojedinih komponenti.</w:t>
            </w:r>
          </w:p>
          <w:p w:rsidR="008E143C" w:rsidRPr="0001691A" w:rsidRDefault="00B353B4" w:rsidP="0001691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01691A">
              <w:rPr>
                <w:rFonts w:ascii="Garamond" w:eastAsia="Times New Roman" w:hAnsi="Garamond" w:cs="Times New Roman"/>
                <w:u w:val="single"/>
                <w:lang w:eastAsia="hr-HR"/>
              </w:rPr>
              <w:t>Tebufenpirad</w:t>
            </w:r>
            <w:proofErr w:type="spellEnd"/>
            <w:r w:rsidRPr="0001691A">
              <w:rPr>
                <w:rFonts w:ascii="Garamond" w:eastAsia="Times New Roman" w:hAnsi="Garamond" w:cs="Times New Roman"/>
                <w:u w:val="single"/>
                <w:lang w:eastAsia="hr-HR"/>
              </w:rPr>
              <w:t>:</w:t>
            </w:r>
          </w:p>
          <w:p w:rsidR="00B353B4" w:rsidRPr="00B353B4" w:rsidRDefault="00B353B4" w:rsidP="0001691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1691A">
              <w:rPr>
                <w:rFonts w:ascii="Garamond" w:eastAsia="Times New Roman" w:hAnsi="Garamond" w:cs="Times New Roman"/>
                <w:lang w:eastAsia="hr-HR"/>
              </w:rPr>
              <w:t>Nakon dospijeća na tlo, ne očekuje se kontaminacija podzemnih voda  zbog adsorpcije na čvrste čestice tla.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12.5. Rezultati procjene PBT i </w:t>
            </w:r>
            <w:proofErr w:type="spellStart"/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vPvB</w:t>
            </w:r>
            <w:proofErr w:type="spellEnd"/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12.6. Ostali štetni učinci</w:t>
            </w:r>
          </w:p>
        </w:tc>
      </w:tr>
      <w:tr w:rsidR="008E143C" w:rsidRPr="005D6523" w:rsidTr="000A180E">
        <w:trPr>
          <w:cantSplit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1" w:type="dxa"/>
            <w:gridSpan w:val="3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 ZBRINJAVANJE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13.1. Metode za postupanje s otpadom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8E143C" w:rsidRPr="005D6523" w:rsidTr="000A180E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5BC59DED" wp14:editId="474862F7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8E143C" w:rsidRPr="005D6523" w:rsidTr="000A180E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6B581D" w:rsidRDefault="006B581D" w:rsidP="006B581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[Proizvod]</w:t>
            </w:r>
          </w:p>
          <w:p w:rsidR="008E143C" w:rsidRPr="00092FC9" w:rsidRDefault="006B581D" w:rsidP="006B581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837095">
              <w:rPr>
                <w:rFonts w:ascii="Garamond" w:eastAsia="Times New Roman" w:hAnsi="Garamond" w:cs="Times New Roman"/>
                <w:b/>
                <w:lang w:eastAsia="hr-HR"/>
              </w:rPr>
              <w:t>02 01 08*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- O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tpad od kemikalija koje se koriste u poljodjelstvu</w:t>
            </w:r>
            <w:r>
              <w:rPr>
                <w:rFonts w:ascii="Garamond" w:eastAsia="Times New Roman" w:hAnsi="Garamond" w:cs="Times New Roman"/>
                <w:lang w:eastAsia="hr-HR"/>
              </w:rPr>
              <w:t>,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 xml:space="preserve"> a koji sadrži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CE732C">
              <w:rPr>
                <w:rFonts w:ascii="Garamond" w:eastAsia="Times New Roman" w:hAnsi="Garamond" w:cs="Times New Roman"/>
                <w:lang w:eastAsia="hr-HR"/>
              </w:rPr>
              <w:t>opasne tvari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F2F2F2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8E143C" w:rsidRPr="005D6523" w:rsidTr="000A180E">
        <w:trPr>
          <w:cantSplit/>
        </w:trPr>
        <w:tc>
          <w:tcPr>
            <w:tcW w:w="879" w:type="dxa"/>
            <w:gridSpan w:val="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35" w:type="dxa"/>
            <w:gridSpan w:val="3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Spaljivanje u prikladnoj spalionici otpada.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 INFORMACIJE O PRIJEVOZU</w:t>
            </w:r>
          </w:p>
        </w:tc>
      </w:tr>
      <w:tr w:rsidR="008E143C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8E143C" w:rsidRPr="00D2583B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0710AB1B" wp14:editId="2580E6C1">
                  <wp:extent cx="900000" cy="900000"/>
                  <wp:effectExtent l="0" t="0" r="0" b="0"/>
                  <wp:docPr id="1" name="Picture 1" descr="http://www.labelmaster.com/images/products/400x400/ZRV19-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belmaster.com/images/products/400x400/ZRV19-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8E143C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8E143C" w:rsidRPr="005D6523" w:rsidRDefault="00182078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8E143C" w:rsidRPr="005D6523" w:rsidRDefault="00182078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E143C" w:rsidRPr="005D6523" w:rsidRDefault="00182078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E143C" w:rsidRPr="005D6523" w:rsidRDefault="00182078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3077</w:t>
            </w:r>
          </w:p>
        </w:tc>
      </w:tr>
      <w:tr w:rsidR="00182078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182078" w:rsidRPr="005D6523" w:rsidRDefault="00182078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Ispravno otpremno ime UN: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4359A">
              <w:rPr>
                <w:rFonts w:ascii="Garamond" w:eastAsia="Times New Roman" w:hAnsi="Garamond" w:cs="Times New Roman"/>
                <w:lang w:eastAsia="hr-HR"/>
              </w:rPr>
              <w:t>TVARI OPASNE PO OKOLIŠ, KRUTINE, N.D.N.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4359A">
              <w:rPr>
                <w:rFonts w:ascii="Garamond" w:eastAsia="Times New Roman" w:hAnsi="Garamond" w:cs="Times New Roman"/>
                <w:lang w:eastAsia="hr-HR"/>
              </w:rPr>
              <w:t>TVARI OPASNE PO OKOLIŠ, KRUTINE, N.D.N.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4359A">
              <w:rPr>
                <w:rFonts w:ascii="Garamond" w:eastAsia="Times New Roman" w:hAnsi="Garamond" w:cs="Times New Roman"/>
                <w:lang w:eastAsia="hr-HR"/>
              </w:rPr>
              <w:t>TVARI OPASNE PO OKOLIŠ, KRUTINE, N.D.N.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24359A">
              <w:rPr>
                <w:rFonts w:ascii="Garamond" w:eastAsia="Times New Roman" w:hAnsi="Garamond" w:cs="Times New Roman"/>
                <w:lang w:eastAsia="hr-HR"/>
              </w:rPr>
              <w:t>TVARI OPASNE PO OKOLIŠ, KRUTINE, N.D.N.</w:t>
            </w:r>
          </w:p>
        </w:tc>
      </w:tr>
      <w:tr w:rsidR="00182078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182078" w:rsidRPr="005D6523" w:rsidRDefault="00182078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Prijevozni razred(i) opasnosti: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9</w:t>
            </w:r>
          </w:p>
        </w:tc>
      </w:tr>
      <w:tr w:rsidR="00182078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182078" w:rsidRPr="005D6523" w:rsidRDefault="00182078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III</w:t>
            </w:r>
          </w:p>
        </w:tc>
      </w:tr>
      <w:tr w:rsidR="00182078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182078" w:rsidRPr="005D6523" w:rsidRDefault="00182078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182078" w:rsidRPr="005D6523" w:rsidRDefault="00182078" w:rsidP="0079184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Da</w:t>
            </w:r>
          </w:p>
        </w:tc>
      </w:tr>
      <w:tr w:rsidR="008E143C" w:rsidRPr="005D6523" w:rsidTr="000A180E">
        <w:tc>
          <w:tcPr>
            <w:tcW w:w="3458" w:type="dxa"/>
            <w:gridSpan w:val="15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Posebne mjere opreza za korisnika:</w:t>
            </w:r>
          </w:p>
        </w:tc>
        <w:tc>
          <w:tcPr>
            <w:tcW w:w="1715" w:type="dxa"/>
            <w:gridSpan w:val="9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94" w:type="dxa"/>
            <w:gridSpan w:val="8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15. INFORMACIJE O PROPISIMA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 sigurnosti, zdravlja i okoliša / posebni propisi za tvar ili smjesu: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8E143C" w:rsidRPr="005D6523" w:rsidRDefault="006B581D" w:rsidP="006B581D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1907/2006 [REACH]; Uredba (EZ-a) br. 1272/2008 [CLP].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0" w:type="dxa"/>
            <w:gridSpan w:val="2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proofErr w:type="spellStart"/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biocidnim</w:t>
            </w:r>
            <w:proofErr w:type="spellEnd"/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 pripravcima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pripadajući pravilnici;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otpadu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</w:t>
            </w:r>
            <w:proofErr w:type="spellStart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>podzakonski</w:t>
            </w:r>
            <w:proofErr w:type="spellEnd"/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15.2. Ocjenjivanje kemijske sigurnosti:</w:t>
            </w:r>
          </w:p>
        </w:tc>
      </w:tr>
      <w:tr w:rsidR="008E143C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0" w:type="dxa"/>
            <w:gridSpan w:val="34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Nije provedeno ocjenjivanje kemijske sigurnosti.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A6A6A6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 OSTALE INFORMACIJE</w:t>
            </w:r>
          </w:p>
        </w:tc>
      </w:tr>
      <w:tr w:rsidR="008E143C" w:rsidRPr="005D6523" w:rsidTr="000A180E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8E143C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Izmjene i dopune odjeljaka 2, 3, 7, 9, 11.</w:t>
            </w:r>
          </w:p>
        </w:tc>
      </w:tr>
      <w:tr w:rsidR="008E143C" w:rsidRPr="005D6523" w:rsidTr="000A180E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16.2. Skraćenice: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Toxicity</w:t>
            </w:r>
            <w:proofErr w:type="spellEnd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 xml:space="preserve"> </w:t>
            </w:r>
            <w:proofErr w:type="spellStart"/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Estimate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PBT – postojano,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bioperzistentno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, toksično.</w:t>
            </w:r>
          </w:p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vPvB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vrlo postojano, vrlo </w:t>
            </w:r>
            <w:proofErr w:type="spellStart"/>
            <w:r w:rsidRPr="005D6523">
              <w:rPr>
                <w:rFonts w:ascii="Garamond" w:eastAsia="Times New Roman" w:hAnsi="Garamond" w:cs="Times New Roman"/>
                <w:lang w:eastAsia="hr-HR"/>
              </w:rPr>
              <w:t>bioakumulativno</w:t>
            </w:r>
            <w:proofErr w:type="spellEnd"/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E143C" w:rsidRPr="005D6523" w:rsidTr="000A180E">
        <w:trPr>
          <w:cantSplit/>
        </w:trPr>
        <w:tc>
          <w:tcPr>
            <w:tcW w:w="4009" w:type="dxa"/>
            <w:gridSpan w:val="18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16.3. Ključna literatura i izvori podataka:</w:t>
            </w:r>
          </w:p>
        </w:tc>
        <w:tc>
          <w:tcPr>
            <w:tcW w:w="6305" w:type="dxa"/>
            <w:gridSpan w:val="19"/>
            <w:shd w:val="clear" w:color="auto" w:fill="FFFFFF"/>
            <w:vAlign w:val="center"/>
          </w:tcPr>
          <w:p w:rsidR="008E143C" w:rsidRPr="005D6523" w:rsidRDefault="008E143C" w:rsidP="00D535F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Sigurnosno-tehnički list proizvođača, 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tvrtke BASF SE, Njemačka za smjesu </w:t>
            </w:r>
            <w:r w:rsidR="00D535F7" w:rsidRPr="00D535F7">
              <w:rPr>
                <w:rFonts w:ascii="Garamond" w:eastAsia="Times New Roman" w:hAnsi="Garamond" w:cs="Times New Roman"/>
                <w:lang w:eastAsia="hr-HR"/>
              </w:rPr>
              <w:t>MASAI</w:t>
            </w:r>
            <w:r w:rsidR="00D535F7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 xml:space="preserve">od </w:t>
            </w:r>
            <w:r w:rsidR="00D535F7">
              <w:rPr>
                <w:rFonts w:ascii="Garamond" w:eastAsia="Times New Roman" w:hAnsi="Garamond" w:cs="Times New Roman"/>
                <w:lang w:eastAsia="hr-HR"/>
              </w:rPr>
              <w:t>03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D535F7">
              <w:rPr>
                <w:rFonts w:ascii="Garamond" w:eastAsia="Times New Roman" w:hAnsi="Garamond" w:cs="Times New Roman"/>
                <w:lang w:eastAsia="hr-HR"/>
              </w:rPr>
              <w:t>11</w:t>
            </w:r>
            <w:r w:rsidRPr="003D0BCD">
              <w:rPr>
                <w:rFonts w:ascii="Garamond" w:eastAsia="Times New Roman" w:hAnsi="Garamond" w:cs="Times New Roman"/>
                <w:lang w:eastAsia="hr-HR"/>
              </w:rPr>
              <w:t>.201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4., verzija </w:t>
            </w:r>
            <w:r w:rsidR="00D535F7">
              <w:rPr>
                <w:rFonts w:ascii="Garamond" w:eastAsia="Times New Roman" w:hAnsi="Garamond" w:cs="Times New Roman"/>
                <w:lang w:eastAsia="hr-HR"/>
              </w:rPr>
              <w:t>3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.0,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ESIS, ICSC, UNEP, IUCLID, IPCS INCHEM, OECD.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8E143C" w:rsidRPr="005D6523" w:rsidTr="000A180E">
        <w:trPr>
          <w:cantSplit/>
          <w:trHeight w:val="239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4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Pr="00035196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8E143C" w:rsidRPr="005D6523" w:rsidTr="000A180E">
        <w:trPr>
          <w:cantSplit/>
          <w:trHeight w:val="330"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4"/>
            <w:shd w:val="clear" w:color="auto" w:fill="auto"/>
            <w:vAlign w:val="center"/>
          </w:tcPr>
          <w:p w:rsidR="005E5315" w:rsidRDefault="005E5315" w:rsidP="005E531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H332</w:t>
            </w:r>
          </w:p>
          <w:p w:rsidR="005E5315" w:rsidRDefault="005E5315" w:rsidP="005E531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H302</w:t>
            </w:r>
          </w:p>
          <w:p w:rsidR="005E5315" w:rsidRDefault="005E5315" w:rsidP="005E531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H335</w:t>
            </w:r>
          </w:p>
          <w:p w:rsidR="005E5315" w:rsidRDefault="005E5315" w:rsidP="005E531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H373</w:t>
            </w:r>
          </w:p>
          <w:p w:rsidR="005E5315" w:rsidRDefault="005E5315" w:rsidP="005E531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H400</w:t>
            </w:r>
          </w:p>
          <w:p w:rsidR="008E143C" w:rsidRPr="005D6523" w:rsidRDefault="006B581D" w:rsidP="006B581D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H410</w:t>
            </w:r>
          </w:p>
        </w:tc>
        <w:tc>
          <w:tcPr>
            <w:tcW w:w="4842" w:type="dxa"/>
            <w:gridSpan w:val="10"/>
            <w:shd w:val="clear" w:color="auto" w:fill="auto"/>
            <w:vAlign w:val="center"/>
          </w:tcPr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toksikološkim podacima</w:t>
            </w:r>
          </w:p>
          <w:p w:rsidR="008E143C" w:rsidRDefault="005E5315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podacima proizvođača</w:t>
            </w:r>
            <w:r w:rsidR="008E143C">
              <w:rPr>
                <w:rFonts w:ascii="Garamond" w:eastAsia="Times New Roman" w:hAnsi="Garamond" w:cs="Arial"/>
                <w:lang w:eastAsia="hr-HR"/>
              </w:rPr>
              <w:t xml:space="preserve"> </w:t>
            </w:r>
          </w:p>
          <w:p w:rsidR="008E143C" w:rsidRDefault="005E5315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Prema podacima proizvođača</w:t>
            </w:r>
          </w:p>
          <w:p w:rsidR="008E143C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Računska metoda</w:t>
            </w:r>
          </w:p>
          <w:p w:rsidR="008E143C" w:rsidRPr="005D6523" w:rsidRDefault="006B581D" w:rsidP="006B581D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 xml:space="preserve">Računska metoda 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  <w:gridSpan w:val="37"/>
            <w:shd w:val="clear" w:color="auto" w:fill="D9D9D9"/>
            <w:vAlign w:val="center"/>
          </w:tcPr>
          <w:p w:rsidR="008E143C" w:rsidRPr="005D6523" w:rsidRDefault="008E143C" w:rsidP="006B581D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 w:val="restart"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228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>
              <w:rPr>
                <w:rFonts w:ascii="Garamond" w:eastAsia="TTE1C5A728t00" w:hAnsi="Garamond" w:cs="TTE1C5A728t00"/>
              </w:rPr>
              <w:t>Zapaljiva krutina.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Otrovno ako se proguta.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Pr="00F562AF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302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Štetno ako se proguta.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315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Nadražuje kožu.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317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Može izazvati alergijsku reakciju na koži.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318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Uzrokuje teške ozljede oka.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Pr="00F562AF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>
              <w:rPr>
                <w:rFonts w:ascii="Garamond" w:eastAsia="TTE1C5A728t00" w:hAnsi="Garamond" w:cs="TTE1C5A728t00"/>
              </w:rPr>
              <w:t>Štetno ako se udiše.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335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>
              <w:rPr>
                <w:rFonts w:ascii="Garamond" w:eastAsia="TTE1C5A728t00" w:hAnsi="Garamond" w:cs="TTE1C5A728t00"/>
              </w:rPr>
              <w:t>Može nadražiti dišni sustav.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373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Može uzrokovati oštećenje organa (gastrointestinalni trakt) tijekom produljene ili ponavljane izloženosti (oralno).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400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Vrlo otrovno za vodeni okoliš.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410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Vrlo otrovno za vodeni okoliš, s dugotrajnim učincima.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eastAsia="TTE1C5A728t00" w:hAnsi="Garamond" w:cs="TTE1C5A728t00"/>
              </w:rPr>
            </w:pPr>
            <w:r w:rsidRPr="006851CF">
              <w:rPr>
                <w:rFonts w:ascii="Garamond" w:hAnsi="Garamond" w:cs="Times New Roman"/>
              </w:rPr>
              <w:t>Otrovno za vodeni okoliš s dugotrajnim učincima.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412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Štetno za vodeni okoliš s dugotrajnim učincima.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0A180E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EUH208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Default="006B581D" w:rsidP="000A180E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Sadrži </w:t>
            </w: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Tebufenpirad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>. Može izazvati alergijsku reakciju.</w:t>
            </w:r>
          </w:p>
        </w:tc>
      </w:tr>
      <w:tr w:rsidR="006B581D" w:rsidRPr="005D6523" w:rsidTr="000A180E">
        <w:trPr>
          <w:cantSplit/>
        </w:trPr>
        <w:tc>
          <w:tcPr>
            <w:tcW w:w="814" w:type="dxa"/>
            <w:gridSpan w:val="3"/>
            <w:shd w:val="clear" w:color="auto" w:fill="auto"/>
            <w:vAlign w:val="center"/>
          </w:tcPr>
          <w:p w:rsidR="006B581D" w:rsidRPr="005D6523" w:rsidRDefault="006B581D" w:rsidP="000A180E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vMerge/>
            <w:shd w:val="clear" w:color="auto" w:fill="auto"/>
            <w:vAlign w:val="center"/>
          </w:tcPr>
          <w:p w:rsidR="006B581D" w:rsidRPr="00035196" w:rsidRDefault="006B581D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6B581D" w:rsidRDefault="006B581D" w:rsidP="00CD0A75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87" w:type="dxa"/>
            <w:gridSpan w:val="25"/>
            <w:shd w:val="clear" w:color="auto" w:fill="auto"/>
            <w:vAlign w:val="center"/>
          </w:tcPr>
          <w:p w:rsidR="006B581D" w:rsidRPr="006851CF" w:rsidRDefault="006B581D" w:rsidP="00CD0A75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6851CF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D913FE" w:rsidRPr="005D6523" w:rsidTr="000A180E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D913FE" w:rsidRPr="005D6523" w:rsidRDefault="00D913FE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D913FE" w:rsidRPr="005D6523" w:rsidRDefault="00D913FE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D913FE" w:rsidRPr="005D6523" w:rsidTr="000A180E">
        <w:trPr>
          <w:cantSplit/>
        </w:trPr>
        <w:tc>
          <w:tcPr>
            <w:tcW w:w="3227" w:type="dxa"/>
            <w:gridSpan w:val="12"/>
            <w:shd w:val="clear" w:color="auto" w:fill="D9D9D9"/>
            <w:vAlign w:val="center"/>
          </w:tcPr>
          <w:p w:rsidR="00D913FE" w:rsidRPr="005D6523" w:rsidRDefault="00D913FE" w:rsidP="000A180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87" w:type="dxa"/>
            <w:gridSpan w:val="25"/>
            <w:shd w:val="clear" w:color="auto" w:fill="FFFFFF"/>
            <w:vAlign w:val="center"/>
          </w:tcPr>
          <w:p w:rsidR="00D913FE" w:rsidRPr="005D6523" w:rsidRDefault="00D913FE" w:rsidP="000A1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8E143C" w:rsidRPr="005D6523" w:rsidRDefault="008E143C" w:rsidP="008E143C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8E143C" w:rsidRPr="005D6523" w:rsidRDefault="008E143C" w:rsidP="008E143C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E143C" w:rsidRPr="005D6523" w:rsidTr="000A180E">
        <w:trPr>
          <w:cantSplit/>
        </w:trPr>
        <w:tc>
          <w:tcPr>
            <w:tcW w:w="10314" w:type="dxa"/>
            <w:shd w:val="clear" w:color="auto" w:fill="C0C0C0"/>
          </w:tcPr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8E143C" w:rsidRPr="005D6523" w:rsidRDefault="008E143C" w:rsidP="000A180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8E143C" w:rsidRPr="005D6523" w:rsidTr="000A180E">
        <w:trPr>
          <w:cantSplit/>
        </w:trPr>
        <w:tc>
          <w:tcPr>
            <w:tcW w:w="10314" w:type="dxa"/>
          </w:tcPr>
          <w:p w:rsidR="008E143C" w:rsidRPr="005D6523" w:rsidRDefault="008E143C" w:rsidP="000A1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lastRenderedPageBreak/>
              <w:t>-</w:t>
            </w:r>
          </w:p>
        </w:tc>
      </w:tr>
    </w:tbl>
    <w:p w:rsidR="00ED73F1" w:rsidRDefault="00ED73F1"/>
    <w:sectPr w:rsidR="00ED73F1" w:rsidSect="000A180E">
      <w:headerReference w:type="even" r:id="rId21"/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6" w:rsidRDefault="009449C6" w:rsidP="008E143C">
      <w:pPr>
        <w:spacing w:after="0" w:line="240" w:lineRule="auto"/>
      </w:pPr>
      <w:r>
        <w:separator/>
      </w:r>
    </w:p>
  </w:endnote>
  <w:endnote w:type="continuationSeparator" w:id="0">
    <w:p w:rsidR="009449C6" w:rsidRDefault="009449C6" w:rsidP="008E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C5A7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A" w:rsidRDefault="0001691A" w:rsidP="000A180E">
    <w:pPr>
      <w:pStyle w:val="Footer"/>
      <w:spacing w:after="120"/>
    </w:pPr>
    <w:r>
      <w:t xml:space="preserve">          </w:t>
    </w:r>
  </w:p>
  <w:p w:rsidR="0001691A" w:rsidRPr="00134C56" w:rsidRDefault="0001691A" w:rsidP="000A1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216BC" wp14:editId="522EE7AA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26289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91A" w:rsidRPr="00134C56" w:rsidRDefault="0001691A" w:rsidP="000A180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HZTA, klasa: 050-03-01/15-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C250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7550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C250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8C250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  <w:t>12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8C250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S5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" stroked="f">
              <v:textbox style="mso-fit-shape-to-text:t">
                <w:txbxContent>
                  <w:p w:rsidR="0001691A" w:rsidRPr="00134C56" w:rsidRDefault="0001691A" w:rsidP="000A180E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HZTA, klasa: 050-03-01/15-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C250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7550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C250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8C250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  <w:t>12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8C250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.2015.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6" w:rsidRDefault="009449C6" w:rsidP="008E143C">
      <w:pPr>
        <w:spacing w:after="0" w:line="240" w:lineRule="auto"/>
      </w:pPr>
      <w:r>
        <w:separator/>
      </w:r>
    </w:p>
  </w:footnote>
  <w:footnote w:type="continuationSeparator" w:id="0">
    <w:p w:rsidR="009449C6" w:rsidRDefault="009449C6" w:rsidP="008E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A" w:rsidRDefault="0001691A" w:rsidP="000A18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91A" w:rsidRDefault="0001691A" w:rsidP="000A18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1A" w:rsidRPr="007305F3" w:rsidRDefault="0001691A" w:rsidP="000A180E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01691A" w:rsidRPr="007305F3" w:rsidRDefault="0001691A" w:rsidP="000A180E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01691A" w:rsidRPr="007305F3" w:rsidRDefault="0001691A" w:rsidP="000A180E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8C2500">
      <w:rPr>
        <w:rStyle w:val="PageNumber"/>
        <w:rFonts w:ascii="Garamond" w:hAnsi="Garamond"/>
        <w:b/>
        <w:noProof/>
        <w:sz w:val="22"/>
        <w:szCs w:val="22"/>
      </w:rPr>
      <w:t>7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8C2500">
      <w:rPr>
        <w:rFonts w:ascii="Garamond" w:hAnsi="Garamond"/>
        <w:b/>
        <w:noProof/>
        <w:sz w:val="22"/>
        <w:szCs w:val="22"/>
      </w:rPr>
      <w:t>13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01691A" w:rsidRPr="00AD57C6" w:rsidTr="000A180E">
      <w:tc>
        <w:tcPr>
          <w:tcW w:w="10314" w:type="dxa"/>
          <w:gridSpan w:val="6"/>
          <w:shd w:val="clear" w:color="auto" w:fill="auto"/>
          <w:vAlign w:val="center"/>
        </w:tcPr>
        <w:p w:rsidR="0001691A" w:rsidRPr="000B4751" w:rsidRDefault="0001691A" w:rsidP="000A180E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r w:rsidRPr="008E143C">
            <w:rPr>
              <w:rFonts w:ascii="Garamond" w:hAnsi="Garamond"/>
              <w:b/>
            </w:rPr>
            <w:t>MASAI</w:t>
          </w:r>
        </w:p>
      </w:tc>
    </w:tr>
    <w:tr w:rsidR="0001691A" w:rsidRPr="00AD57C6" w:rsidTr="000A180E">
      <w:tc>
        <w:tcPr>
          <w:tcW w:w="1719" w:type="dxa"/>
          <w:shd w:val="clear" w:color="auto" w:fill="auto"/>
          <w:vAlign w:val="center"/>
        </w:tcPr>
        <w:p w:rsidR="0001691A" w:rsidRPr="00AD57C6" w:rsidRDefault="0001691A" w:rsidP="000A180E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01691A" w:rsidRPr="008B30D5" w:rsidRDefault="0001691A" w:rsidP="000A180E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01691A" w:rsidRPr="00AD57C6" w:rsidRDefault="0001691A" w:rsidP="0001691A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01691A" w:rsidRPr="0069215C" w:rsidRDefault="0001691A" w:rsidP="0001691A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08.09.2015.</w:t>
          </w:r>
        </w:p>
      </w:tc>
      <w:tc>
        <w:tcPr>
          <w:tcW w:w="1719" w:type="dxa"/>
          <w:shd w:val="clear" w:color="auto" w:fill="auto"/>
          <w:vAlign w:val="center"/>
        </w:tcPr>
        <w:p w:rsidR="0001691A" w:rsidRPr="007305F3" w:rsidRDefault="0001691A" w:rsidP="0001691A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01691A" w:rsidRPr="007305F3" w:rsidRDefault="0001691A" w:rsidP="0001691A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3.0</w:t>
          </w:r>
        </w:p>
      </w:tc>
    </w:tr>
  </w:tbl>
  <w:p w:rsidR="0001691A" w:rsidRPr="00D72D0F" w:rsidRDefault="0001691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F1"/>
    <w:rsid w:val="00013A03"/>
    <w:rsid w:val="00013ACC"/>
    <w:rsid w:val="0001691A"/>
    <w:rsid w:val="0003686B"/>
    <w:rsid w:val="000375E7"/>
    <w:rsid w:val="0006656F"/>
    <w:rsid w:val="00081861"/>
    <w:rsid w:val="000A180E"/>
    <w:rsid w:val="000C2144"/>
    <w:rsid w:val="000C391A"/>
    <w:rsid w:val="000C6365"/>
    <w:rsid w:val="000E3613"/>
    <w:rsid w:val="00151322"/>
    <w:rsid w:val="00182078"/>
    <w:rsid w:val="00193AAA"/>
    <w:rsid w:val="001E0FC0"/>
    <w:rsid w:val="001E5BC8"/>
    <w:rsid w:val="002B0B5E"/>
    <w:rsid w:val="002B4C80"/>
    <w:rsid w:val="002E77F8"/>
    <w:rsid w:val="002F0620"/>
    <w:rsid w:val="00316647"/>
    <w:rsid w:val="003F6C35"/>
    <w:rsid w:val="004106B2"/>
    <w:rsid w:val="004E4CDB"/>
    <w:rsid w:val="00526E97"/>
    <w:rsid w:val="00542FF8"/>
    <w:rsid w:val="00593338"/>
    <w:rsid w:val="005B585F"/>
    <w:rsid w:val="005D0A17"/>
    <w:rsid w:val="005D5F17"/>
    <w:rsid w:val="005E5315"/>
    <w:rsid w:val="00635BB3"/>
    <w:rsid w:val="006473A2"/>
    <w:rsid w:val="0064786A"/>
    <w:rsid w:val="00691555"/>
    <w:rsid w:val="006A41A7"/>
    <w:rsid w:val="006B581D"/>
    <w:rsid w:val="006E0430"/>
    <w:rsid w:val="00705767"/>
    <w:rsid w:val="00725D6C"/>
    <w:rsid w:val="0074413A"/>
    <w:rsid w:val="00787FE6"/>
    <w:rsid w:val="00791845"/>
    <w:rsid w:val="007A50E1"/>
    <w:rsid w:val="007C3547"/>
    <w:rsid w:val="007E7C02"/>
    <w:rsid w:val="00847109"/>
    <w:rsid w:val="008571F5"/>
    <w:rsid w:val="00860A15"/>
    <w:rsid w:val="00873BBB"/>
    <w:rsid w:val="00896877"/>
    <w:rsid w:val="008C2500"/>
    <w:rsid w:val="008E143C"/>
    <w:rsid w:val="008E76D1"/>
    <w:rsid w:val="008F10C4"/>
    <w:rsid w:val="008F3140"/>
    <w:rsid w:val="008F4D1A"/>
    <w:rsid w:val="009449C6"/>
    <w:rsid w:val="00966341"/>
    <w:rsid w:val="00980DC4"/>
    <w:rsid w:val="009B552C"/>
    <w:rsid w:val="009F2995"/>
    <w:rsid w:val="00A04228"/>
    <w:rsid w:val="00A15457"/>
    <w:rsid w:val="00A65A5F"/>
    <w:rsid w:val="00A713F1"/>
    <w:rsid w:val="00B13994"/>
    <w:rsid w:val="00B142FE"/>
    <w:rsid w:val="00B16E1D"/>
    <w:rsid w:val="00B32E14"/>
    <w:rsid w:val="00B353B4"/>
    <w:rsid w:val="00B61D40"/>
    <w:rsid w:val="00BB67B7"/>
    <w:rsid w:val="00C17F43"/>
    <w:rsid w:val="00C35C49"/>
    <w:rsid w:val="00D079C7"/>
    <w:rsid w:val="00D30BBC"/>
    <w:rsid w:val="00D535F7"/>
    <w:rsid w:val="00D87929"/>
    <w:rsid w:val="00D913FE"/>
    <w:rsid w:val="00E50895"/>
    <w:rsid w:val="00E61EDE"/>
    <w:rsid w:val="00EA2638"/>
    <w:rsid w:val="00EA2822"/>
    <w:rsid w:val="00EB2D8A"/>
    <w:rsid w:val="00EC23EC"/>
    <w:rsid w:val="00EC69AE"/>
    <w:rsid w:val="00ED73F1"/>
    <w:rsid w:val="00F524E5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C"/>
  </w:style>
  <w:style w:type="paragraph" w:styleId="Heading1">
    <w:name w:val="heading 1"/>
    <w:basedOn w:val="Normal"/>
    <w:next w:val="Normal"/>
    <w:link w:val="Heading1Char"/>
    <w:qFormat/>
    <w:rsid w:val="008E143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E1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8E143C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43C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8E143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8E143C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8E143C"/>
  </w:style>
  <w:style w:type="paragraph" w:styleId="Header">
    <w:name w:val="header"/>
    <w:basedOn w:val="Normal"/>
    <w:link w:val="HeaderChar"/>
    <w:rsid w:val="008E1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8E143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8E1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8E143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8E14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8E143C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8E143C"/>
  </w:style>
  <w:style w:type="paragraph" w:styleId="BalloonText">
    <w:name w:val="Balloon Text"/>
    <w:basedOn w:val="Normal"/>
    <w:link w:val="BalloonTextChar"/>
    <w:semiHidden/>
    <w:rsid w:val="008E143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8E143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8E14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8E143C"/>
  </w:style>
  <w:style w:type="character" w:styleId="Hyperlink">
    <w:name w:val="Hyperlink"/>
    <w:rsid w:val="008E143C"/>
    <w:rPr>
      <w:color w:val="0000FF"/>
      <w:u w:val="single"/>
    </w:rPr>
  </w:style>
  <w:style w:type="character" w:customStyle="1" w:styleId="arial11bigspacingnormal1">
    <w:name w:val="arial_11_bigspacing_normal1"/>
    <w:rsid w:val="008E143C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E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C"/>
  </w:style>
  <w:style w:type="paragraph" w:styleId="Heading1">
    <w:name w:val="heading 1"/>
    <w:basedOn w:val="Normal"/>
    <w:next w:val="Normal"/>
    <w:link w:val="Heading1Char"/>
    <w:qFormat/>
    <w:rsid w:val="008E143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E14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8E143C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43C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8E143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8E143C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8E143C"/>
  </w:style>
  <w:style w:type="paragraph" w:styleId="Header">
    <w:name w:val="header"/>
    <w:basedOn w:val="Normal"/>
    <w:link w:val="HeaderChar"/>
    <w:rsid w:val="008E1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8E143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8E1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8E143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8E14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8E143C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8E143C"/>
  </w:style>
  <w:style w:type="paragraph" w:styleId="BalloonText">
    <w:name w:val="Balloon Text"/>
    <w:basedOn w:val="Normal"/>
    <w:link w:val="BalloonTextChar"/>
    <w:semiHidden/>
    <w:rsid w:val="008E143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8E143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8E14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8E143C"/>
  </w:style>
  <w:style w:type="character" w:styleId="Hyperlink">
    <w:name w:val="Hyperlink"/>
    <w:rsid w:val="008E143C"/>
    <w:rPr>
      <w:color w:val="0000FF"/>
      <w:u w:val="single"/>
    </w:rPr>
  </w:style>
  <w:style w:type="character" w:customStyle="1" w:styleId="arial11bigspacingnormal1">
    <w:name w:val="arial_11_bigspacing_normal1"/>
    <w:rsid w:val="008E143C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E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ana.mirkovic@basf.co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Produktinformation-Pflanzenschutz@basf.com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agro.basf.hr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Irena</cp:lastModifiedBy>
  <cp:revision>6</cp:revision>
  <cp:lastPrinted>2014-12-23T09:19:00Z</cp:lastPrinted>
  <dcterms:created xsi:type="dcterms:W3CDTF">2014-12-23T11:54:00Z</dcterms:created>
  <dcterms:modified xsi:type="dcterms:W3CDTF">2015-10-12T10:02:00Z</dcterms:modified>
</cp:coreProperties>
</file>